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4C420" w14:textId="4056D25F" w:rsidR="00E80663" w:rsidRPr="00CE0424" w:rsidRDefault="00E80663" w:rsidP="00E80663">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5E038E">
        <w:t>1</w:t>
      </w:r>
      <w:r>
        <w:t>-e</w:t>
      </w:r>
      <w:r w:rsidRPr="00CE0424">
        <w:tab/>
      </w:r>
      <w:r w:rsidRPr="00F8114B">
        <w:rPr>
          <w:sz w:val="32"/>
          <w:szCs w:val="32"/>
        </w:rPr>
        <w:t>Tdoc R1-20</w:t>
      </w:r>
      <w:r w:rsidR="00F8114B" w:rsidRPr="00F8114B">
        <w:rPr>
          <w:sz w:val="32"/>
          <w:szCs w:val="32"/>
        </w:rPr>
        <w:t>03848</w:t>
      </w:r>
    </w:p>
    <w:p w14:paraId="5E64EF1E" w14:textId="46F2102F" w:rsidR="00E80663" w:rsidRPr="00CE0424" w:rsidRDefault="00E80663" w:rsidP="00E80663">
      <w:pPr>
        <w:pStyle w:val="3GPPHeader"/>
      </w:pPr>
      <w:r>
        <w:t>e-Meeting</w:t>
      </w:r>
      <w:r w:rsidRPr="009027D4">
        <w:t>, 2</w:t>
      </w:r>
      <w:r w:rsidR="005E038E">
        <w:t>5</w:t>
      </w:r>
      <w:r w:rsidRPr="009B02A0">
        <w:rPr>
          <w:vertAlign w:val="superscript"/>
        </w:rPr>
        <w:t>th</w:t>
      </w:r>
      <w:r>
        <w:t xml:space="preserve"> </w:t>
      </w:r>
      <w:r w:rsidR="005E038E">
        <w:t xml:space="preserve">May </w:t>
      </w:r>
      <w:r>
        <w:t xml:space="preserve">– </w:t>
      </w:r>
      <w:r w:rsidR="005E038E">
        <w:t>5</w:t>
      </w:r>
      <w:r w:rsidRPr="009B02A0">
        <w:rPr>
          <w:vertAlign w:val="superscript"/>
        </w:rPr>
        <w:t>th</w:t>
      </w:r>
      <w:r>
        <w:t xml:space="preserve"> </w:t>
      </w:r>
      <w:r w:rsidR="005E038E">
        <w:t>June</w:t>
      </w:r>
      <w:r>
        <w:t xml:space="preserve">, </w:t>
      </w:r>
      <w:r w:rsidRPr="009027D4">
        <w:t>2020</w:t>
      </w:r>
    </w:p>
    <w:p w14:paraId="5CE5E37F" w14:textId="77777777" w:rsidR="00E90E49" w:rsidRPr="00CE0424" w:rsidRDefault="00E90E49" w:rsidP="00357380">
      <w:pPr>
        <w:pStyle w:val="3GPPHeader"/>
      </w:pPr>
    </w:p>
    <w:p w14:paraId="7A555DD8" w14:textId="652B9C70" w:rsidR="00E90E49" w:rsidRPr="00807E1D" w:rsidRDefault="00E90E49" w:rsidP="00311702">
      <w:pPr>
        <w:pStyle w:val="3GPPHeader"/>
        <w:rPr>
          <w:sz w:val="22"/>
        </w:rPr>
      </w:pPr>
      <w:r w:rsidRPr="00807E1D">
        <w:rPr>
          <w:sz w:val="22"/>
        </w:rPr>
        <w:t>Agenda Item:</w:t>
      </w:r>
      <w:r w:rsidRPr="00807E1D">
        <w:rPr>
          <w:sz w:val="22"/>
        </w:rPr>
        <w:tab/>
      </w:r>
      <w:r w:rsidR="009027D4" w:rsidRPr="00807E1D">
        <w:rPr>
          <w:sz w:val="22"/>
        </w:rPr>
        <w:t>7.2.</w:t>
      </w:r>
      <w:r w:rsidR="00E80663">
        <w:rPr>
          <w:sz w:val="22"/>
        </w:rPr>
        <w:t>11.2</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16DBCA85" w:rsidR="00E90E49" w:rsidRPr="00CE0424" w:rsidRDefault="003D3C45" w:rsidP="00311702">
      <w:pPr>
        <w:pStyle w:val="3GPPHeader"/>
        <w:rPr>
          <w:sz w:val="22"/>
        </w:rPr>
      </w:pPr>
      <w:r>
        <w:rPr>
          <w:sz w:val="22"/>
        </w:rPr>
        <w:t>Title:</w:t>
      </w:r>
      <w:r w:rsidR="00E90E49" w:rsidRPr="00CE0424">
        <w:rPr>
          <w:sz w:val="22"/>
        </w:rPr>
        <w:tab/>
      </w:r>
      <w:r w:rsidR="00E80663">
        <w:rPr>
          <w:sz w:val="22"/>
        </w:rPr>
        <w:t>UE Features for NR-U</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002BA1AE" w14:textId="77777777" w:rsidR="00E90E49" w:rsidRPr="00CE0424" w:rsidRDefault="00E90E49" w:rsidP="00E90E49"/>
    <w:p w14:paraId="24E63993" w14:textId="77777777" w:rsidR="00E90E49" w:rsidRPr="00CE0424" w:rsidRDefault="00230D18" w:rsidP="00CE0424">
      <w:pPr>
        <w:pStyle w:val="Heading1"/>
      </w:pPr>
      <w:r>
        <w:t>1</w:t>
      </w:r>
      <w:r>
        <w:tab/>
      </w:r>
      <w:r w:rsidR="00E90E49" w:rsidRPr="00CE0424">
        <w:t>Introduction</w:t>
      </w:r>
    </w:p>
    <w:p w14:paraId="1D97D5AD" w14:textId="0C7FA44C" w:rsidR="00F8114B" w:rsidRPr="00903CB4" w:rsidRDefault="00F8114B" w:rsidP="00CE0424">
      <w:pPr>
        <w:pStyle w:val="BodyText"/>
        <w:rPr>
          <w:lang w:val="en-GB"/>
        </w:rPr>
      </w:pPr>
      <w:r>
        <w:rPr>
          <w:lang w:val="en-GB"/>
        </w:rPr>
        <w:t xml:space="preserve">In this contribution we discuss some of the open issues of the latest FG list endorsed after RAN1#100b-e </w:t>
      </w:r>
      <w:r>
        <w:rPr>
          <w:lang w:val="en-GB"/>
        </w:rPr>
        <w:fldChar w:fldCharType="begin"/>
      </w:r>
      <w:r>
        <w:rPr>
          <w:lang w:val="en-GB"/>
        </w:rPr>
        <w:instrText xml:space="preserve"> REF _Ref37169650 \r \h </w:instrText>
      </w:r>
      <w:r>
        <w:rPr>
          <w:lang w:val="en-GB"/>
        </w:rPr>
      </w:r>
      <w:r>
        <w:rPr>
          <w:lang w:val="en-GB"/>
        </w:rPr>
        <w:fldChar w:fldCharType="separate"/>
      </w:r>
      <w:r>
        <w:rPr>
          <w:lang w:val="en-GB"/>
        </w:rPr>
        <w:t>[1]</w:t>
      </w:r>
      <w:r>
        <w:rPr>
          <w:lang w:val="en-GB"/>
        </w:rPr>
        <w:fldChar w:fldCharType="end"/>
      </w:r>
      <w:r>
        <w:rPr>
          <w:lang w:val="en-GB"/>
        </w:rPr>
        <w:t>.</w:t>
      </w:r>
    </w:p>
    <w:p w14:paraId="5B3C199F" w14:textId="0A3CF4DB" w:rsidR="00D501A7" w:rsidRDefault="00230D18" w:rsidP="00903CB4">
      <w:pPr>
        <w:pStyle w:val="Heading1"/>
      </w:pPr>
      <w:bookmarkStart w:id="0" w:name="_Ref178064866"/>
      <w:r>
        <w:t>2</w:t>
      </w:r>
      <w:r>
        <w:tab/>
      </w:r>
      <w:bookmarkEnd w:id="0"/>
      <w:r w:rsidR="00903CB4">
        <w:t>General Comments</w:t>
      </w:r>
    </w:p>
    <w:p w14:paraId="1AAE9E14" w14:textId="1D732D12" w:rsidR="00903CB4" w:rsidRDefault="00903CB4" w:rsidP="00F71AA5">
      <w:pPr>
        <w:pStyle w:val="Heading2"/>
      </w:pPr>
      <w:r>
        <w:t>2.</w:t>
      </w:r>
      <w:r w:rsidR="00F8114B">
        <w:t>1</w:t>
      </w:r>
      <w:r>
        <w:tab/>
        <w:t>Prerequisite Feature Groups</w:t>
      </w:r>
    </w:p>
    <w:p w14:paraId="29F1A52C" w14:textId="6214B941" w:rsidR="00F804B2" w:rsidRPr="003A30C0" w:rsidRDefault="0092390E" w:rsidP="003A30C0">
      <w:pPr>
        <w:spacing w:line="240" w:lineRule="auto"/>
        <w:jc w:val="both"/>
        <w:rPr>
          <w:rFonts w:ascii="Arial" w:eastAsia="MS Mincho" w:hAnsi="Arial" w:cs="Arial"/>
        </w:rPr>
      </w:pPr>
      <w:r>
        <w:rPr>
          <w:rFonts w:ascii="Arial" w:eastAsia="MS Mincho" w:hAnsi="Arial" w:cs="Arial"/>
        </w:rPr>
        <w:t>As a gener</w:t>
      </w:r>
      <w:r w:rsidR="006D1D25">
        <w:rPr>
          <w:rFonts w:ascii="Arial" w:eastAsia="MS Mincho" w:hAnsi="Arial" w:cs="Arial"/>
        </w:rPr>
        <w:t>al principle</w:t>
      </w:r>
      <w:r w:rsidR="00F804B2" w:rsidRPr="003A30C0">
        <w:rPr>
          <w:rFonts w:ascii="Arial" w:eastAsia="MS Mincho" w:hAnsi="Arial" w:cs="Arial"/>
        </w:rPr>
        <w:t xml:space="preserve">, feature group A should be listed as a pre-requisite for feature group B only if feature group B cannot </w:t>
      </w:r>
      <w:r w:rsidR="00F804B2" w:rsidRPr="003A30C0">
        <w:rPr>
          <w:rFonts w:ascii="Arial" w:eastAsia="MS Mincho" w:hAnsi="Arial" w:cs="Arial"/>
          <w:i/>
          <w:iCs/>
        </w:rPr>
        <w:t>functionally</w:t>
      </w:r>
      <w:r w:rsidR="00F804B2" w:rsidRPr="003A30C0">
        <w:rPr>
          <w:rFonts w:ascii="Arial" w:eastAsia="MS Mincho" w:hAnsi="Arial" w:cs="Arial"/>
        </w:rPr>
        <w:t xml:space="preserve"> operate without feature group A</w:t>
      </w:r>
      <w:r>
        <w:rPr>
          <w:rFonts w:ascii="Arial" w:eastAsia="MS Mincho" w:hAnsi="Arial" w:cs="Arial"/>
        </w:rPr>
        <w:t>.</w:t>
      </w:r>
    </w:p>
    <w:p w14:paraId="79017108" w14:textId="346D400C" w:rsidR="00871E2F" w:rsidRPr="003A30C0" w:rsidRDefault="00F804B2" w:rsidP="0092390E">
      <w:pPr>
        <w:spacing w:line="240" w:lineRule="auto"/>
        <w:jc w:val="both"/>
        <w:rPr>
          <w:rFonts w:ascii="Arial" w:eastAsia="MS Mincho" w:hAnsi="Arial" w:cs="Arial"/>
        </w:rPr>
      </w:pPr>
      <w:r w:rsidRPr="003A30C0">
        <w:rPr>
          <w:rFonts w:ascii="Arial" w:eastAsia="MS Mincho" w:hAnsi="Arial" w:cs="Arial"/>
        </w:rPr>
        <w:t xml:space="preserve">For operation in shared spectrum, a UE should indeed support </w:t>
      </w:r>
      <w:r w:rsidR="004B3C41" w:rsidRPr="003A30C0">
        <w:rPr>
          <w:rFonts w:ascii="Arial" w:eastAsia="MS Mincho" w:hAnsi="Arial" w:cs="Arial"/>
        </w:rPr>
        <w:t>UL LBT</w:t>
      </w:r>
      <w:r w:rsidRPr="003A30C0">
        <w:rPr>
          <w:rFonts w:ascii="Arial" w:eastAsia="MS Mincho" w:hAnsi="Arial" w:cs="Arial"/>
        </w:rPr>
        <w:t xml:space="preserve">. However, the </w:t>
      </w:r>
      <w:r w:rsidRPr="003A30C0">
        <w:rPr>
          <w:rFonts w:ascii="Arial" w:eastAsia="MS Mincho" w:hAnsi="Arial" w:cs="Arial"/>
          <w:b/>
          <w:bCs/>
        </w:rPr>
        <w:t>functionality</w:t>
      </w:r>
      <w:r w:rsidRPr="003A30C0">
        <w:rPr>
          <w:rFonts w:ascii="Arial" w:eastAsia="MS Mincho" w:hAnsi="Arial" w:cs="Arial"/>
        </w:rPr>
        <w:t xml:space="preserve"> of feature group</w:t>
      </w:r>
      <w:r w:rsidR="004B3C41" w:rsidRPr="003A30C0">
        <w:rPr>
          <w:rFonts w:ascii="Arial" w:eastAsia="MS Mincho" w:hAnsi="Arial" w:cs="Arial"/>
        </w:rPr>
        <w:t>s</w:t>
      </w:r>
      <w:r w:rsidRPr="003A30C0">
        <w:rPr>
          <w:rFonts w:ascii="Arial" w:eastAsia="MS Mincho" w:hAnsi="Arial" w:cs="Arial"/>
        </w:rPr>
        <w:t xml:space="preserve">, for example one-shot-HARQ (10-16), </w:t>
      </w:r>
      <w:r w:rsidR="004B3C41" w:rsidRPr="003A30C0">
        <w:rPr>
          <w:rFonts w:ascii="Arial" w:eastAsia="MS Mincho" w:hAnsi="Arial" w:cs="Arial"/>
        </w:rPr>
        <w:t xml:space="preserve">that </w:t>
      </w:r>
      <w:r w:rsidRPr="003A30C0">
        <w:rPr>
          <w:rFonts w:ascii="Arial" w:eastAsia="MS Mincho" w:hAnsi="Arial" w:cs="Arial"/>
        </w:rPr>
        <w:t>ha</w:t>
      </w:r>
      <w:r w:rsidR="004B3C41" w:rsidRPr="003A30C0">
        <w:rPr>
          <w:rFonts w:ascii="Arial" w:eastAsia="MS Mincho" w:hAnsi="Arial" w:cs="Arial"/>
        </w:rPr>
        <w:t>ve</w:t>
      </w:r>
      <w:r w:rsidRPr="003A30C0">
        <w:rPr>
          <w:rFonts w:ascii="Arial" w:eastAsia="MS Mincho" w:hAnsi="Arial" w:cs="Arial"/>
        </w:rPr>
        <w:t xml:space="preserve"> nothing to do with UL LBT operation</w:t>
      </w:r>
      <w:r w:rsidR="004B3C41" w:rsidRPr="003A30C0">
        <w:rPr>
          <w:rFonts w:ascii="Arial" w:eastAsia="MS Mincho" w:hAnsi="Arial" w:cs="Arial"/>
        </w:rPr>
        <w:t xml:space="preserve"> should not have the feature group with UL LBT as a prerequisite</w:t>
      </w:r>
      <w:r w:rsidRPr="003A30C0">
        <w:rPr>
          <w:rFonts w:ascii="Arial" w:eastAsia="MS Mincho" w:hAnsi="Arial" w:cs="Arial"/>
        </w:rPr>
        <w:t>. This means that it is technically incorrect to include 10-1 or 10-</w:t>
      </w:r>
      <w:r w:rsidR="00F8114B">
        <w:rPr>
          <w:rFonts w:ascii="Arial" w:eastAsia="MS Mincho" w:hAnsi="Arial" w:cs="Arial"/>
        </w:rPr>
        <w:t>1a</w:t>
      </w:r>
      <w:r w:rsidRPr="003A30C0">
        <w:rPr>
          <w:rFonts w:ascii="Arial" w:eastAsia="MS Mincho" w:hAnsi="Arial" w:cs="Arial"/>
        </w:rPr>
        <w:t xml:space="preserve"> as a pre-requisite for 10-16</w:t>
      </w:r>
      <w:r w:rsidR="00F8114B">
        <w:rPr>
          <w:rFonts w:ascii="Arial" w:eastAsia="MS Mincho" w:hAnsi="Arial" w:cs="Arial"/>
        </w:rPr>
        <w:t xml:space="preserve">. </w:t>
      </w:r>
      <w:r w:rsidR="004B3C41" w:rsidRPr="003A30C0">
        <w:rPr>
          <w:rFonts w:ascii="Arial" w:eastAsia="MS Mincho" w:hAnsi="Arial" w:cs="Arial"/>
        </w:rPr>
        <w:t xml:space="preserve">It should be noted that feature group 10-16 being listed as part of feature “10. NR-unlicensed” in TR 38.822 </w:t>
      </w:r>
      <w:r w:rsidR="00871E2F" w:rsidRPr="003A30C0">
        <w:rPr>
          <w:rFonts w:ascii="Arial" w:eastAsia="MS Mincho" w:hAnsi="Arial" w:cs="Arial"/>
        </w:rPr>
        <w:t>makes it amply clear that this feature was developed for operation in unlicensed spectrum. There is no further need to artificially link functionally unrelated feature groups together to attempt to indicate the intended scenario for a feature.</w:t>
      </w:r>
    </w:p>
    <w:p w14:paraId="08ECC4CB" w14:textId="745BD135" w:rsidR="00F804B2" w:rsidRPr="006D1D25" w:rsidRDefault="00F804B2" w:rsidP="006D1D25">
      <w:pPr>
        <w:spacing w:line="240" w:lineRule="auto"/>
        <w:jc w:val="both"/>
        <w:rPr>
          <w:rFonts w:ascii="Arial" w:eastAsia="MS Mincho" w:hAnsi="Arial" w:cs="Arial"/>
        </w:rPr>
      </w:pPr>
      <w:r w:rsidRPr="003A30C0">
        <w:rPr>
          <w:rFonts w:ascii="Arial" w:eastAsia="MS Mincho" w:hAnsi="Arial" w:cs="Arial"/>
        </w:rPr>
        <w:t xml:space="preserve">We have previously commented that adding pre-requisite features for a feature group should have technical justifications with respect to the functionality being tested for the feature group. Hence, we </w:t>
      </w:r>
      <w:r w:rsidR="00ED10D8" w:rsidRPr="003A30C0">
        <w:rPr>
          <w:rFonts w:ascii="Arial" w:eastAsia="MS Mincho" w:hAnsi="Arial" w:cs="Arial"/>
        </w:rPr>
        <w:t xml:space="preserve">reiterate </w:t>
      </w:r>
      <w:r w:rsidRPr="003A30C0">
        <w:rPr>
          <w:rFonts w:ascii="Arial" w:eastAsia="MS Mincho" w:hAnsi="Arial" w:cs="Arial"/>
        </w:rPr>
        <w:t>the following</w:t>
      </w:r>
      <w:r w:rsidR="00ED10D8" w:rsidRPr="003A30C0">
        <w:rPr>
          <w:rFonts w:ascii="Arial" w:eastAsia="MS Mincho" w:hAnsi="Arial" w:cs="Arial"/>
        </w:rPr>
        <w:t xml:space="preserve"> proposal</w:t>
      </w:r>
      <w:r w:rsidRPr="003A30C0">
        <w:rPr>
          <w:rFonts w:ascii="Arial" w:eastAsia="MS Mincho" w:hAnsi="Arial" w:cs="Arial"/>
        </w:rPr>
        <w:t>.</w:t>
      </w:r>
    </w:p>
    <w:p w14:paraId="54749188" w14:textId="5C72042E" w:rsidR="007E7EA8" w:rsidRDefault="00F804B2" w:rsidP="00AA4E26">
      <w:pPr>
        <w:pStyle w:val="Proposal"/>
      </w:pPr>
      <w:r w:rsidRPr="003719F2">
        <w:t xml:space="preserve"> </w:t>
      </w:r>
      <w:bookmarkStart w:id="1" w:name="_Toc40471817"/>
      <w:r w:rsidR="007E7EA8">
        <w:t>We propose the following:</w:t>
      </w:r>
      <w:bookmarkEnd w:id="1"/>
    </w:p>
    <w:p w14:paraId="2B10C3F5" w14:textId="045D6EF4" w:rsidR="00DB542D" w:rsidRDefault="00567235" w:rsidP="00D501A7">
      <w:pPr>
        <w:pStyle w:val="Proposal"/>
        <w:numPr>
          <w:ilvl w:val="0"/>
          <w:numId w:val="40"/>
        </w:numPr>
        <w:tabs>
          <w:tab w:val="clear" w:pos="1584"/>
        </w:tabs>
        <w:ind w:left="1710" w:hanging="360"/>
        <w:rPr>
          <w:rFonts w:eastAsia="MS Mincho" w:cs="Arial"/>
        </w:rPr>
      </w:pPr>
      <w:bookmarkStart w:id="2" w:name="_Toc40471818"/>
      <w:r w:rsidRPr="003A30C0">
        <w:rPr>
          <w:rFonts w:eastAsia="MS Mincho" w:cs="Arial"/>
        </w:rPr>
        <w:t xml:space="preserve">A feature group </w:t>
      </w:r>
      <w:r w:rsidR="00D07D0F" w:rsidRPr="003A30C0">
        <w:rPr>
          <w:rFonts w:eastAsia="MS Mincho" w:cs="Arial"/>
        </w:rPr>
        <w:t xml:space="preserve">A </w:t>
      </w:r>
      <w:r w:rsidRPr="003A30C0">
        <w:rPr>
          <w:rFonts w:eastAsia="MS Mincho" w:cs="Arial"/>
        </w:rPr>
        <w:t>should be listed as a pre-requisite for another feature group</w:t>
      </w:r>
      <w:r w:rsidR="00D07D0F" w:rsidRPr="003A30C0">
        <w:rPr>
          <w:rFonts w:eastAsia="MS Mincho" w:cs="Arial"/>
        </w:rPr>
        <w:t>, B, only</w:t>
      </w:r>
      <w:r w:rsidRPr="003A30C0">
        <w:rPr>
          <w:rFonts w:eastAsia="MS Mincho" w:cs="Arial"/>
        </w:rPr>
        <w:t xml:space="preserve"> if </w:t>
      </w:r>
      <w:r w:rsidR="00D07D0F" w:rsidRPr="003A30C0">
        <w:rPr>
          <w:rFonts w:eastAsia="MS Mincho" w:cs="Arial"/>
        </w:rPr>
        <w:t>feature group B cannot functionally operate without feature group A.</w:t>
      </w:r>
      <w:bookmarkEnd w:id="2"/>
    </w:p>
    <w:p w14:paraId="0F76455C" w14:textId="5C8F566E" w:rsidR="00A83388" w:rsidRDefault="00A83388" w:rsidP="00A83388">
      <w:pPr>
        <w:pStyle w:val="Heading2"/>
      </w:pPr>
      <w:r w:rsidRPr="00A83388">
        <w:t>2.2</w:t>
      </w:r>
      <w:r>
        <w:tab/>
      </w:r>
      <w:r w:rsidRPr="00A83388">
        <w:t>FGs Part of Basic Operation</w:t>
      </w:r>
    </w:p>
    <w:p w14:paraId="5BD83D07" w14:textId="77777777" w:rsidR="00A83388" w:rsidRDefault="00A83388" w:rsidP="00A83388">
      <w:pPr>
        <w:spacing w:after="0"/>
        <w:rPr>
          <w:rFonts w:ascii="Arial" w:eastAsia="MS Mincho" w:hAnsi="Arial" w:cs="Arial"/>
        </w:rPr>
      </w:pPr>
      <w:r>
        <w:rPr>
          <w:rFonts w:ascii="Arial" w:eastAsia="MS Mincho" w:hAnsi="Arial" w:cs="Arial"/>
        </w:rPr>
        <w:t>In our view, the following FGs make sense to be part of a basic operation for a particular scenario as listed in the last column of the spreadsheet:</w:t>
      </w:r>
    </w:p>
    <w:p w14:paraId="3EAD4798" w14:textId="46399406" w:rsidR="00A83388" w:rsidRPr="00A83388" w:rsidRDefault="00A83388" w:rsidP="00A83388">
      <w:pPr>
        <w:pStyle w:val="ListParagraph"/>
        <w:numPr>
          <w:ilvl w:val="0"/>
          <w:numId w:val="42"/>
        </w:numPr>
        <w:rPr>
          <w:rFonts w:ascii="Arial" w:eastAsia="MS Mincho" w:hAnsi="Arial" w:cs="Arial"/>
        </w:rPr>
      </w:pPr>
      <w:r>
        <w:rPr>
          <w:rFonts w:ascii="Arial" w:eastAsia="MS Mincho" w:hAnsi="Arial" w:cs="Arial"/>
          <w:lang w:val="en-US"/>
        </w:rPr>
        <w:t>FG 10-1, -1a, -2, -2a, -2b, -2c, -2d, -2e</w:t>
      </w:r>
    </w:p>
    <w:p w14:paraId="4711E352" w14:textId="77777777" w:rsidR="00A83388" w:rsidRDefault="00A83388" w:rsidP="00A83388">
      <w:pPr>
        <w:rPr>
          <w:rFonts w:ascii="Arial" w:eastAsia="MS Mincho" w:hAnsi="Arial" w:cs="Arial"/>
        </w:rPr>
      </w:pPr>
    </w:p>
    <w:p w14:paraId="29F07350" w14:textId="20EFD8ED" w:rsidR="00A83388" w:rsidRDefault="00A83388" w:rsidP="00A83388">
      <w:pPr>
        <w:spacing w:after="0"/>
        <w:rPr>
          <w:rFonts w:ascii="Arial" w:eastAsia="MS Mincho" w:hAnsi="Arial" w:cs="Arial"/>
        </w:rPr>
      </w:pPr>
      <w:r>
        <w:rPr>
          <w:rFonts w:ascii="Arial" w:eastAsia="MS Mincho" w:hAnsi="Arial" w:cs="Arial"/>
        </w:rPr>
        <w:t xml:space="preserve">However, the following features should be listed only as “Optional with capability signaling,” and </w:t>
      </w:r>
      <w:r w:rsidRPr="00A83388">
        <w:rPr>
          <w:rFonts w:ascii="Arial" w:eastAsia="MS Mincho" w:hAnsi="Arial" w:cs="Arial"/>
          <w:u w:val="single"/>
        </w:rPr>
        <w:t>not</w:t>
      </w:r>
      <w:r>
        <w:rPr>
          <w:rFonts w:ascii="Arial" w:eastAsia="MS Mincho" w:hAnsi="Arial" w:cs="Arial"/>
        </w:rPr>
        <w:t xml:space="preserve"> be part of basic operation for a particular scenario</w:t>
      </w:r>
    </w:p>
    <w:p w14:paraId="14F659F4" w14:textId="68EF2012" w:rsidR="00A83388" w:rsidRPr="00A83388" w:rsidRDefault="00A83388" w:rsidP="00A83388">
      <w:pPr>
        <w:pStyle w:val="ListParagraph"/>
        <w:numPr>
          <w:ilvl w:val="0"/>
          <w:numId w:val="42"/>
        </w:numPr>
        <w:ind w:left="835"/>
        <w:rPr>
          <w:rFonts w:ascii="Arial" w:eastAsia="MS Mincho" w:hAnsi="Arial" w:cs="Arial"/>
        </w:rPr>
      </w:pPr>
      <w:r>
        <w:rPr>
          <w:rFonts w:ascii="Arial" w:eastAsia="MS Mincho" w:hAnsi="Arial" w:cs="Arial"/>
          <w:lang w:val="en-US"/>
        </w:rPr>
        <w:t>FG 10-2f, -7, -10, -11, -20, -20a, -23, -25, -27, -29, -30</w:t>
      </w:r>
    </w:p>
    <w:p w14:paraId="3404B859" w14:textId="7E4F28AA" w:rsidR="00903CB4" w:rsidRDefault="00903CB4" w:rsidP="00DD65E2">
      <w:pPr>
        <w:pStyle w:val="Heading1"/>
        <w:jc w:val="both"/>
      </w:pPr>
      <w:r>
        <w:t>3</w:t>
      </w:r>
      <w:r>
        <w:tab/>
        <w:t>Specific Comments</w:t>
      </w:r>
    </w:p>
    <w:p w14:paraId="3DD7FD3D" w14:textId="24B8D3EC" w:rsidR="00903CB4" w:rsidRDefault="00903CB4" w:rsidP="00DD65E2">
      <w:pPr>
        <w:pStyle w:val="BodyText"/>
        <w:rPr>
          <w:lang w:val="en-GB"/>
        </w:rPr>
      </w:pPr>
      <w:r>
        <w:rPr>
          <w:lang w:val="en-GB"/>
        </w:rPr>
        <w:t>Here we provide specific comments on a per-FG basis.</w:t>
      </w:r>
    </w:p>
    <w:p w14:paraId="35A7020E" w14:textId="496BC5D5" w:rsidR="00D6446C" w:rsidRDefault="00D6446C">
      <w:pPr>
        <w:pStyle w:val="Heading2"/>
      </w:pPr>
      <w:r>
        <w:t>FG 10-2/2a/2c/2d</w:t>
      </w:r>
    </w:p>
    <w:p w14:paraId="0105F38C" w14:textId="2F292D65" w:rsidR="00D6446C" w:rsidRPr="00D6446C" w:rsidRDefault="00D6446C" w:rsidP="00D6446C">
      <w:pPr>
        <w:rPr>
          <w:rFonts w:ascii="Arial" w:hAnsi="Arial"/>
          <w:lang w:val="en-GB" w:eastAsia="zh-CN"/>
        </w:rPr>
      </w:pPr>
      <w:r w:rsidRPr="00D6446C">
        <w:rPr>
          <w:rFonts w:ascii="Arial" w:hAnsi="Arial"/>
          <w:lang w:val="en-GB" w:eastAsia="zh-CN"/>
        </w:rPr>
        <w:t>It does not seem necessary to have separate FGs defined for dynamic and semi-static channel access mode for RLM and RRM. It seems like 2/2a can be merged and 2c/2d can be merged. It can be further discussed if there is a need to introduce a range of values for various configurable parameters to allow a UE to report its capability.</w:t>
      </w:r>
    </w:p>
    <w:p w14:paraId="59BF51A2" w14:textId="26D25061" w:rsidR="00D6446C" w:rsidRPr="00D6446C" w:rsidRDefault="00D6446C" w:rsidP="00D6446C">
      <w:pPr>
        <w:pStyle w:val="Proposal"/>
        <w:rPr>
          <w:lang w:val="en-GB"/>
        </w:rPr>
      </w:pPr>
      <w:bookmarkStart w:id="3" w:name="_Toc40471819"/>
      <w:r w:rsidRPr="00D6446C">
        <w:rPr>
          <w:lang w:val="en-GB"/>
        </w:rPr>
        <w:t>FG 2a/2b can be merged. FG 2c/2d can be merged.</w:t>
      </w:r>
      <w:bookmarkEnd w:id="3"/>
    </w:p>
    <w:p w14:paraId="5886FE06" w14:textId="7E1D6ECF" w:rsidR="00D57479" w:rsidRDefault="00D57479" w:rsidP="00DD65E2">
      <w:pPr>
        <w:pStyle w:val="Heading2"/>
        <w:jc w:val="both"/>
      </w:pPr>
      <w:r>
        <w:t xml:space="preserve">FG </w:t>
      </w:r>
      <w:r w:rsidR="00A83388">
        <w:t>10-2f</w:t>
      </w:r>
    </w:p>
    <w:p w14:paraId="30CD8C2A" w14:textId="09E76023" w:rsidR="00D57479" w:rsidRDefault="00A83388" w:rsidP="00DD65E2">
      <w:pPr>
        <w:pStyle w:val="BodyText"/>
        <w:rPr>
          <w:lang w:val="en-GB"/>
        </w:rPr>
      </w:pPr>
      <w:r>
        <w:rPr>
          <w:lang w:val="en-GB"/>
        </w:rPr>
        <w:t>FG 10-2f</w:t>
      </w:r>
      <w:r w:rsidR="00493F87">
        <w:rPr>
          <w:lang w:val="en-GB"/>
        </w:rPr>
        <w:t xml:space="preserve"> “</w:t>
      </w:r>
      <w:r w:rsidR="00493F87">
        <w:rPr>
          <w:lang w:eastAsia="ja-JP"/>
        </w:rPr>
        <w:t xml:space="preserve">Support of RAR extension from 10ms to [40ms] by decoding of the 2-bit SFN indication in DCI 1_0” in our view, </w:t>
      </w:r>
      <w:r w:rsidR="00493F87" w:rsidRPr="00493F87">
        <w:rPr>
          <w:lang w:val="en-GB"/>
        </w:rPr>
        <w:t>it is not critical if NR-U capable UEs do not support the extended RAR window. Collisions do not happen</w:t>
      </w:r>
      <w:r w:rsidR="00493F87">
        <w:rPr>
          <w:lang w:val="en-GB"/>
        </w:rPr>
        <w:t xml:space="preserve"> </w:t>
      </w:r>
      <w:r w:rsidR="00493F87" w:rsidRPr="00493F87">
        <w:rPr>
          <w:lang w:val="en-GB"/>
        </w:rPr>
        <w:t xml:space="preserve">frequently, and if there </w:t>
      </w:r>
      <w:r w:rsidR="00493F87">
        <w:rPr>
          <w:lang w:val="en-GB"/>
        </w:rPr>
        <w:t>is</w:t>
      </w:r>
      <w:r w:rsidR="00493F87" w:rsidRPr="00493F87">
        <w:rPr>
          <w:lang w:val="en-GB"/>
        </w:rPr>
        <w:t xml:space="preserve"> a collision, a UE can retry to access the channel again. It is true that the gNB does not know the UE’s capability if the RA</w:t>
      </w:r>
      <w:r w:rsidR="00493F87">
        <w:rPr>
          <w:lang w:val="en-GB"/>
        </w:rPr>
        <w:t>CH</w:t>
      </w:r>
      <w:r w:rsidR="00493F87" w:rsidRPr="00493F87">
        <w:rPr>
          <w:lang w:val="en-GB"/>
        </w:rPr>
        <w:t xml:space="preserve"> procedure is initiated by the IDLE/INACTIVE UE.</w:t>
      </w:r>
      <w:r w:rsidR="00493F87">
        <w:rPr>
          <w:lang w:val="en-GB"/>
        </w:rPr>
        <w:t xml:space="preserve"> </w:t>
      </w:r>
      <w:r w:rsidR="00493F87" w:rsidRPr="00493F87">
        <w:rPr>
          <w:lang w:val="en-GB"/>
        </w:rPr>
        <w:t xml:space="preserve">However, </w:t>
      </w:r>
      <w:r w:rsidR="00493F87">
        <w:rPr>
          <w:lang w:val="en-GB"/>
        </w:rPr>
        <w:t xml:space="preserve">if support of extended RAR is a separate FG with its own </w:t>
      </w:r>
      <w:r w:rsidR="00493F87" w:rsidRPr="00493F87">
        <w:rPr>
          <w:lang w:val="en-GB"/>
        </w:rPr>
        <w:t>an capability bit</w:t>
      </w:r>
      <w:r w:rsidR="00493F87">
        <w:rPr>
          <w:lang w:val="en-GB"/>
        </w:rPr>
        <w:t>, this</w:t>
      </w:r>
      <w:r w:rsidR="00493F87" w:rsidRPr="00493F87">
        <w:rPr>
          <w:lang w:val="en-GB"/>
        </w:rPr>
        <w:t xml:space="preserve"> can be used to collect statistics </w:t>
      </w:r>
      <w:r w:rsidR="00493F87">
        <w:rPr>
          <w:lang w:val="en-GB"/>
        </w:rPr>
        <w:t xml:space="preserve">on UE capabilities, </w:t>
      </w:r>
      <w:r w:rsidR="00493F87" w:rsidRPr="00493F87">
        <w:rPr>
          <w:lang w:val="en-GB"/>
        </w:rPr>
        <w:t xml:space="preserve">and the gNB may decide based on the penetration and use case whether to configure the extended RAR window or not. If considered useful, this can be implemented in the initial phase. </w:t>
      </w:r>
      <w:r w:rsidR="00493F87">
        <w:rPr>
          <w:lang w:val="en-GB"/>
        </w:rPr>
        <w:t>Otherwise</w:t>
      </w:r>
      <w:r w:rsidR="00493F87" w:rsidRPr="00493F87">
        <w:rPr>
          <w:lang w:val="en-GB"/>
        </w:rPr>
        <w:t>, UEs may also be upgraded with this capability if enhancements are considered needed.</w:t>
      </w:r>
    </w:p>
    <w:p w14:paraId="6CC4B984" w14:textId="36C5D549" w:rsidR="00493F87" w:rsidRPr="003A30C0" w:rsidRDefault="00493F87" w:rsidP="00DD65E2">
      <w:pPr>
        <w:pStyle w:val="Proposal"/>
        <w:rPr>
          <w:lang w:val="en-GB"/>
        </w:rPr>
      </w:pPr>
      <w:bookmarkStart w:id="4" w:name="_Toc40471820"/>
      <w:r>
        <w:t xml:space="preserve">FG </w:t>
      </w:r>
      <w:r w:rsidR="00A83388">
        <w:t xml:space="preserve">10-2f </w:t>
      </w:r>
      <w:r>
        <w:t>for support of RAR extension from 10ms to [40ms] by decoding of the 2-bit SFN indication in DCI 1_0</w:t>
      </w:r>
      <w:r w:rsidR="00A83388">
        <w:t xml:space="preserve"> does not need to be part of basic operation.</w:t>
      </w:r>
      <w:bookmarkEnd w:id="4"/>
    </w:p>
    <w:p w14:paraId="5962A1DF" w14:textId="503C2435" w:rsidR="001C4E0E" w:rsidRDefault="001C4E0E" w:rsidP="00DD65E2">
      <w:pPr>
        <w:pStyle w:val="Heading2"/>
        <w:jc w:val="both"/>
      </w:pPr>
      <w:r>
        <w:t>FG 10-8</w:t>
      </w:r>
    </w:p>
    <w:p w14:paraId="2E45DA60" w14:textId="22694671" w:rsidR="001C4E0E" w:rsidRDefault="00426CC3" w:rsidP="00DD65E2">
      <w:pPr>
        <w:jc w:val="both"/>
        <w:rPr>
          <w:rFonts w:ascii="Arial" w:hAnsi="Arial" w:cs="Arial"/>
          <w:lang w:val="en-GB" w:eastAsia="ja-JP"/>
        </w:rPr>
      </w:pPr>
      <w:r>
        <w:rPr>
          <w:rFonts w:ascii="Arial" w:hAnsi="Arial" w:cs="Arial"/>
          <w:lang w:val="en-GB" w:eastAsia="ja-JP"/>
        </w:rPr>
        <w:t>Since the PDSCH mapping lengths are generally useful, regardless of the band, in our view this feature should be per UE.</w:t>
      </w:r>
    </w:p>
    <w:p w14:paraId="4A6CFDBB" w14:textId="63D94CEF" w:rsidR="001C4E0E" w:rsidRPr="001C4E0E" w:rsidRDefault="00426CC3" w:rsidP="00DD65E2">
      <w:pPr>
        <w:pStyle w:val="Proposal"/>
        <w:rPr>
          <w:lang w:val="en-GB"/>
        </w:rPr>
      </w:pPr>
      <w:bookmarkStart w:id="5" w:name="_Toc40471821"/>
      <w:r>
        <w:rPr>
          <w:lang w:val="en-GB"/>
        </w:rPr>
        <w:t>FG 10-8 should be per UE.</w:t>
      </w:r>
      <w:bookmarkEnd w:id="5"/>
    </w:p>
    <w:p w14:paraId="2EC38782" w14:textId="221B9063" w:rsidR="002A6EA4" w:rsidRDefault="002A6EA4" w:rsidP="00DD65E2">
      <w:pPr>
        <w:pStyle w:val="Heading2"/>
        <w:jc w:val="both"/>
      </w:pPr>
      <w:bookmarkStart w:id="6" w:name="_Hlk37356222"/>
      <w:r>
        <w:t>FG 10-9</w:t>
      </w:r>
      <w:bookmarkEnd w:id="6"/>
      <w:r w:rsidR="00D6446C">
        <w:t>/9b/9c</w:t>
      </w:r>
      <w:r w:rsidR="00DA0C32">
        <w:t>/9d</w:t>
      </w:r>
    </w:p>
    <w:p w14:paraId="62EB4F9F" w14:textId="78745E4A" w:rsidR="00985B1C" w:rsidRDefault="00426CC3" w:rsidP="00DD65E2">
      <w:pPr>
        <w:jc w:val="both"/>
        <w:rPr>
          <w:rFonts w:ascii="Arial" w:hAnsi="Arial" w:cs="Arial"/>
          <w:lang w:val="en-GB" w:eastAsia="ja-JP"/>
        </w:rPr>
      </w:pPr>
      <w:r>
        <w:rPr>
          <w:rFonts w:ascii="Arial" w:hAnsi="Arial" w:cs="Arial"/>
          <w:lang w:val="en-GB" w:eastAsia="ja-JP"/>
        </w:rPr>
        <w:t>In our view, this feature is useful for UE power saving, regardless of the operating band. Hence this feature should be per UE.</w:t>
      </w:r>
      <w:r w:rsidR="00DA0C32">
        <w:rPr>
          <w:rFonts w:ascii="Arial" w:hAnsi="Arial" w:cs="Arial"/>
          <w:lang w:val="en-GB" w:eastAsia="ja-JP"/>
        </w:rPr>
        <w:t xml:space="preserve"> Please note that we previously commented that 10-9c should be FFS Per UE or Per Band to be consistent with 10-9,-9b,-9d.</w:t>
      </w:r>
    </w:p>
    <w:p w14:paraId="3B508F0C" w14:textId="040EA910" w:rsidR="006938EA" w:rsidRPr="00283FE1" w:rsidRDefault="00D6446C" w:rsidP="00283FE1">
      <w:pPr>
        <w:pStyle w:val="Proposal"/>
      </w:pPr>
      <w:bookmarkStart w:id="7" w:name="_Toc40471822"/>
      <w:r>
        <w:t>FGs 10-9/9b/9c</w:t>
      </w:r>
      <w:r w:rsidR="00DA0C32">
        <w:t>/9d</w:t>
      </w:r>
      <w:r>
        <w:t xml:space="preserve"> </w:t>
      </w:r>
      <w:r w:rsidR="00426CC3" w:rsidRPr="00283FE1">
        <w:t>should be per UE.</w:t>
      </w:r>
      <w:bookmarkEnd w:id="7"/>
    </w:p>
    <w:p w14:paraId="34FB55FD" w14:textId="22F291D0" w:rsidR="00AE7821" w:rsidRDefault="00AE7821" w:rsidP="00DD65E2">
      <w:pPr>
        <w:pStyle w:val="Heading2"/>
        <w:jc w:val="both"/>
      </w:pPr>
      <w:r>
        <w:t>FG 10-</w:t>
      </w:r>
      <w:r w:rsidR="0024281A">
        <w:t>10</w:t>
      </w:r>
    </w:p>
    <w:p w14:paraId="059F93BB" w14:textId="33545077" w:rsidR="0024281A" w:rsidRDefault="0024281A" w:rsidP="00DD65E2">
      <w:pPr>
        <w:jc w:val="both"/>
        <w:rPr>
          <w:rFonts w:ascii="Arial" w:hAnsi="Arial" w:cs="Arial"/>
          <w:lang w:val="en-GB" w:eastAsia="ja-JP"/>
        </w:rPr>
      </w:pPr>
      <w:r w:rsidRPr="003A30C0">
        <w:rPr>
          <w:rFonts w:ascii="Arial" w:hAnsi="Arial" w:cs="Arial"/>
          <w:lang w:val="en-GB" w:eastAsia="ja-JP"/>
        </w:rPr>
        <w:t>It is not clear why RSSI channel occupancy measurement and reporting needs to be per band instead of being per UE as it was in the case of LTE-LAA. It is simpler to make this per UE, especially considering there are at least two bands already (5 and 6 GHz) and there may potentially also be other unlicensed bands that may open up in the future.</w:t>
      </w:r>
    </w:p>
    <w:p w14:paraId="141D18CE" w14:textId="401C3098" w:rsidR="00426CC3" w:rsidRDefault="00426CC3" w:rsidP="00426CC3">
      <w:pPr>
        <w:pStyle w:val="Proposal"/>
        <w:rPr>
          <w:lang w:val="en-GB"/>
        </w:rPr>
      </w:pPr>
      <w:bookmarkStart w:id="8" w:name="_Toc40471823"/>
      <w:r>
        <w:rPr>
          <w:lang w:val="en-GB"/>
        </w:rPr>
        <w:t>FG 10-10 should be per UE</w:t>
      </w:r>
      <w:bookmarkEnd w:id="8"/>
    </w:p>
    <w:p w14:paraId="005D0067" w14:textId="4F459838" w:rsidR="00426CC3" w:rsidRDefault="00426CC3" w:rsidP="00426CC3">
      <w:pPr>
        <w:pStyle w:val="Heading2"/>
      </w:pPr>
      <w:r>
        <w:t>FG 10-11</w:t>
      </w:r>
    </w:p>
    <w:p w14:paraId="671F9602" w14:textId="2AD71969" w:rsidR="00426CC3" w:rsidRDefault="00426CC3" w:rsidP="00DD65E2">
      <w:pPr>
        <w:jc w:val="both"/>
        <w:rPr>
          <w:rFonts w:ascii="Arial" w:hAnsi="Arial" w:cs="Arial"/>
          <w:lang w:val="en-GB" w:eastAsia="ja-JP"/>
        </w:rPr>
      </w:pPr>
      <w:r>
        <w:rPr>
          <w:rFonts w:ascii="Arial" w:hAnsi="Arial" w:cs="Arial"/>
          <w:lang w:val="en-GB" w:eastAsia="ja-JP"/>
        </w:rPr>
        <w:t>The ability to configure an SRS resource to start at any OFDM symbol in a slot is generally useful, regardless of the band. For example, it can enable 1T4R antenna switching in the same slot (currently 2-slots are needed), it can be useful for positioning, and also URLLC. Hence this FG should be per UE.</w:t>
      </w:r>
    </w:p>
    <w:p w14:paraId="18F69662" w14:textId="7B8BDFF8" w:rsidR="00426CC3" w:rsidRDefault="00426CC3" w:rsidP="00426CC3">
      <w:pPr>
        <w:pStyle w:val="Proposal"/>
        <w:rPr>
          <w:lang w:val="en-GB"/>
        </w:rPr>
      </w:pPr>
      <w:bookmarkStart w:id="9" w:name="_Toc40471824"/>
      <w:r>
        <w:rPr>
          <w:lang w:val="en-GB"/>
        </w:rPr>
        <w:t>FG 10-11 should be per UE</w:t>
      </w:r>
      <w:bookmarkEnd w:id="9"/>
    </w:p>
    <w:p w14:paraId="2352330C" w14:textId="59BF081E" w:rsidR="00DA0C32" w:rsidRDefault="00DA0C32">
      <w:pPr>
        <w:pStyle w:val="Heading2"/>
      </w:pPr>
      <w:r>
        <w:t>FG 10-16</w:t>
      </w:r>
    </w:p>
    <w:p w14:paraId="10A75E90" w14:textId="73DB9980" w:rsidR="00DA0C32" w:rsidRPr="00DA0C32" w:rsidRDefault="00DA0C32" w:rsidP="00A012A2">
      <w:pPr>
        <w:pStyle w:val="Proposal"/>
        <w:rPr>
          <w:lang w:val="en-GB"/>
        </w:rPr>
      </w:pPr>
      <w:bookmarkStart w:id="10" w:name="_Toc40471825"/>
      <w:r>
        <w:rPr>
          <w:lang w:val="en-GB"/>
        </w:rPr>
        <w:t>FG 10-16 should be per UE</w:t>
      </w:r>
      <w:bookmarkEnd w:id="10"/>
    </w:p>
    <w:p w14:paraId="238F2A57" w14:textId="77777777" w:rsidR="00C2461F" w:rsidRDefault="00C2461F" w:rsidP="00C2461F">
      <w:pPr>
        <w:pStyle w:val="Heading2"/>
        <w:jc w:val="both"/>
      </w:pPr>
      <w:r>
        <w:t>FG 10-17</w:t>
      </w:r>
    </w:p>
    <w:p w14:paraId="46580167" w14:textId="2C9BC71D" w:rsidR="00C2461F" w:rsidRDefault="00C2461F" w:rsidP="00C2461F">
      <w:pPr>
        <w:jc w:val="both"/>
        <w:rPr>
          <w:rFonts w:ascii="Arial" w:hAnsi="Arial" w:cs="Arial"/>
          <w:lang w:val="en-GB" w:eastAsia="ja-JP"/>
        </w:rPr>
      </w:pPr>
      <w:r>
        <w:rPr>
          <w:rFonts w:ascii="Arial" w:hAnsi="Arial" w:cs="Arial"/>
          <w:lang w:val="en-GB" w:eastAsia="ja-JP"/>
        </w:rPr>
        <w:t>Multi-PUSCH UL grants should be per UE instead of per band</w:t>
      </w:r>
      <w:r w:rsidRPr="002C74AD">
        <w:rPr>
          <w:rFonts w:ascii="Arial" w:hAnsi="Arial" w:cs="Arial"/>
          <w:lang w:val="en-GB" w:eastAsia="ja-JP"/>
        </w:rPr>
        <w:t>.</w:t>
      </w:r>
      <w:r>
        <w:rPr>
          <w:rFonts w:ascii="Arial" w:hAnsi="Arial" w:cs="Arial"/>
          <w:lang w:val="en-GB" w:eastAsia="ja-JP"/>
        </w:rPr>
        <w:t xml:space="preserve"> Firstly, the functionality will be very useful in any band where PDCCH capacity can be constrained. Secondly, it is functionality that once implemented is fundamentally not related to the band of operation.</w:t>
      </w:r>
    </w:p>
    <w:p w14:paraId="6F325C2E" w14:textId="69EF70E4" w:rsidR="00AA4E26" w:rsidRDefault="00AA4E26" w:rsidP="00AA4E26">
      <w:pPr>
        <w:pStyle w:val="Proposal"/>
        <w:rPr>
          <w:lang w:val="en-GB"/>
        </w:rPr>
      </w:pPr>
      <w:bookmarkStart w:id="11" w:name="_Toc40471826"/>
      <w:r>
        <w:rPr>
          <w:lang w:val="en-GB"/>
        </w:rPr>
        <w:t>FG 10-17 should be per UE</w:t>
      </w:r>
      <w:bookmarkEnd w:id="11"/>
    </w:p>
    <w:p w14:paraId="16DC880C" w14:textId="5B76A73B" w:rsidR="00443058" w:rsidRDefault="00443058" w:rsidP="003A30C0">
      <w:pPr>
        <w:pStyle w:val="Heading2"/>
      </w:pPr>
      <w:r>
        <w:t>FG 10-19</w:t>
      </w:r>
    </w:p>
    <w:p w14:paraId="7F818F40" w14:textId="632D4CC2" w:rsidR="00E140D3" w:rsidRDefault="00443058" w:rsidP="00DD65E2">
      <w:pPr>
        <w:jc w:val="both"/>
        <w:rPr>
          <w:rFonts w:ascii="Arial" w:hAnsi="Arial" w:cs="Arial"/>
          <w:lang w:val="en-GB" w:eastAsia="ja-JP"/>
        </w:rPr>
      </w:pPr>
      <w:r>
        <w:rPr>
          <w:rFonts w:ascii="Arial" w:hAnsi="Arial" w:cs="Arial"/>
          <w:lang w:val="en-GB" w:eastAsia="ja-JP"/>
        </w:rPr>
        <w:t>Regarding the FFS</w:t>
      </w:r>
      <w:r w:rsidR="00B37A13">
        <w:rPr>
          <w:rFonts w:ascii="Arial" w:hAnsi="Arial" w:cs="Arial"/>
          <w:lang w:val="en-GB" w:eastAsia="ja-JP"/>
        </w:rPr>
        <w:t>,</w:t>
      </w:r>
      <w:r>
        <w:rPr>
          <w:rFonts w:ascii="Arial" w:hAnsi="Arial" w:cs="Arial"/>
          <w:lang w:val="en-GB" w:eastAsia="ja-JP"/>
        </w:rPr>
        <w:t xml:space="preserve"> </w:t>
      </w:r>
      <w:r w:rsidR="00B37A13">
        <w:rPr>
          <w:rFonts w:ascii="Arial" w:hAnsi="Arial" w:cs="Arial"/>
          <w:lang w:val="en-GB" w:eastAsia="ja-JP"/>
        </w:rPr>
        <w:t xml:space="preserve">this feature group is needed, </w:t>
      </w:r>
      <w:r w:rsidR="00E140D3">
        <w:rPr>
          <w:rFonts w:ascii="Arial" w:hAnsi="Arial" w:cs="Arial"/>
          <w:lang w:val="en-GB" w:eastAsia="ja-JP"/>
        </w:rPr>
        <w:t xml:space="preserve">as it is </w:t>
      </w:r>
      <w:r w:rsidR="00B37A13">
        <w:rPr>
          <w:rFonts w:ascii="Arial" w:hAnsi="Arial" w:cs="Arial"/>
          <w:lang w:val="en-GB" w:eastAsia="ja-JP"/>
        </w:rPr>
        <w:t>important</w:t>
      </w:r>
      <w:r w:rsidR="00E140D3">
        <w:rPr>
          <w:rFonts w:ascii="Arial" w:hAnsi="Arial" w:cs="Arial"/>
          <w:lang w:val="en-GB" w:eastAsia="ja-JP"/>
        </w:rPr>
        <w:t xml:space="preserve"> for the network to know the UE capability to enable proper UL scheduling.</w:t>
      </w:r>
    </w:p>
    <w:p w14:paraId="746F2411" w14:textId="5D1CD8A7" w:rsidR="00E140D3" w:rsidRDefault="00AA4E26" w:rsidP="003A30C0">
      <w:pPr>
        <w:pStyle w:val="Proposal"/>
        <w:rPr>
          <w:lang w:val="en-GB"/>
        </w:rPr>
      </w:pPr>
      <w:bookmarkStart w:id="12" w:name="_Toc40471827"/>
      <w:r>
        <w:rPr>
          <w:lang w:val="en-GB"/>
        </w:rPr>
        <w:t xml:space="preserve">Keep </w:t>
      </w:r>
      <w:r w:rsidR="00E140D3">
        <w:rPr>
          <w:lang w:val="en-GB"/>
        </w:rPr>
        <w:t>FG 10-19</w:t>
      </w:r>
      <w:r>
        <w:rPr>
          <w:lang w:val="en-GB"/>
        </w:rPr>
        <w:t xml:space="preserve">; </w:t>
      </w:r>
      <w:r w:rsidR="000B2F3A">
        <w:rPr>
          <w:lang w:val="en-GB"/>
        </w:rPr>
        <w:t>FFS</w:t>
      </w:r>
      <w:r w:rsidR="002F6FE6">
        <w:rPr>
          <w:lang w:val="en-GB"/>
        </w:rPr>
        <w:t xml:space="preserve"> can be deleted</w:t>
      </w:r>
      <w:bookmarkEnd w:id="12"/>
    </w:p>
    <w:p w14:paraId="3C5CA2D5" w14:textId="64E90937" w:rsidR="00443058" w:rsidRDefault="00B37A13" w:rsidP="003A30C0">
      <w:pPr>
        <w:pStyle w:val="Heading2"/>
      </w:pPr>
      <w:r>
        <w:t>FG 10-19a</w:t>
      </w:r>
    </w:p>
    <w:p w14:paraId="5B136F77" w14:textId="47E7AF42" w:rsidR="00B37A13" w:rsidRDefault="00B73FE9" w:rsidP="00DD65E2">
      <w:pPr>
        <w:jc w:val="both"/>
        <w:rPr>
          <w:rFonts w:ascii="Arial" w:hAnsi="Arial" w:cs="Arial"/>
          <w:lang w:val="en-GB" w:eastAsia="ja-JP"/>
        </w:rPr>
      </w:pPr>
      <w:r>
        <w:rPr>
          <w:rFonts w:ascii="Arial" w:hAnsi="Arial" w:cs="Arial"/>
          <w:lang w:val="en-GB" w:eastAsia="ja-JP"/>
        </w:rPr>
        <w:t xml:space="preserve">It seems that this capability is more general and applies not only to CSI-RS but also PDSCH. We suggest to add a second component to this feature group. </w:t>
      </w:r>
    </w:p>
    <w:p w14:paraId="1CB6043E" w14:textId="69F2F97D" w:rsidR="00B73FE9" w:rsidRDefault="00F35BA8" w:rsidP="003A30C0">
      <w:pPr>
        <w:pStyle w:val="Proposal"/>
        <w:rPr>
          <w:lang w:val="en-GB"/>
        </w:rPr>
      </w:pPr>
      <w:bookmarkStart w:id="13" w:name="_Toc40471828"/>
      <w:r>
        <w:rPr>
          <w:lang w:val="en-GB"/>
        </w:rPr>
        <w:t xml:space="preserve">Keep FG. </w:t>
      </w:r>
      <w:r w:rsidR="00B73FE9">
        <w:rPr>
          <w:lang w:val="en-GB"/>
        </w:rPr>
        <w:t>Add a component to FG 10-19a for reception of PDSCH over a subset of RB sets as follows</w:t>
      </w:r>
      <w:bookmarkEnd w:id="13"/>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2058"/>
        <w:gridCol w:w="5483"/>
        <w:gridCol w:w="1980"/>
      </w:tblGrid>
      <w:tr w:rsidR="00F35BA8" w:rsidRPr="00B73FE9" w14:paraId="46B0DE43" w14:textId="77777777" w:rsidTr="003A30C0">
        <w:trPr>
          <w:trHeight w:val="20"/>
        </w:trPr>
        <w:tc>
          <w:tcPr>
            <w:tcW w:w="734" w:type="dxa"/>
            <w:tcBorders>
              <w:top w:val="single" w:sz="4" w:space="0" w:color="auto"/>
              <w:left w:val="single" w:sz="4" w:space="0" w:color="auto"/>
              <w:bottom w:val="single" w:sz="4" w:space="0" w:color="auto"/>
              <w:right w:val="single" w:sz="4" w:space="0" w:color="auto"/>
            </w:tcBorders>
            <w:hideMark/>
          </w:tcPr>
          <w:p w14:paraId="3E4DD797" w14:textId="36CC40F4" w:rsidR="00F35BA8" w:rsidRPr="00B73FE9" w:rsidRDefault="00F35BA8" w:rsidP="00F35BA8">
            <w:pPr>
              <w:keepNext/>
              <w:keepLines/>
              <w:spacing w:after="0" w:line="256" w:lineRule="auto"/>
              <w:rPr>
                <w:rFonts w:ascii="Arial" w:eastAsia="SimSun" w:hAnsi="Arial" w:cs="Times New Roman"/>
                <w:sz w:val="18"/>
                <w:szCs w:val="20"/>
                <w:lang w:val="en-GB" w:eastAsia="ja-JP"/>
              </w:rPr>
            </w:pPr>
            <w:r w:rsidRPr="00417E7B">
              <w:rPr>
                <w:highlight w:val="yellow"/>
                <w:lang w:eastAsia="ja-JP"/>
              </w:rPr>
              <w:t>[10-19a]</w:t>
            </w:r>
          </w:p>
        </w:tc>
        <w:tc>
          <w:tcPr>
            <w:tcW w:w="2058" w:type="dxa"/>
            <w:tcBorders>
              <w:top w:val="single" w:sz="4" w:space="0" w:color="auto"/>
              <w:left w:val="single" w:sz="4" w:space="0" w:color="auto"/>
              <w:bottom w:val="single" w:sz="4" w:space="0" w:color="auto"/>
              <w:right w:val="single" w:sz="4" w:space="0" w:color="auto"/>
            </w:tcBorders>
            <w:hideMark/>
          </w:tcPr>
          <w:p w14:paraId="4B5489EE" w14:textId="0A09C18E" w:rsidR="00F35BA8" w:rsidRPr="00B73FE9" w:rsidRDefault="00F35BA8" w:rsidP="00F35BA8">
            <w:pPr>
              <w:keepNext/>
              <w:keepLines/>
              <w:spacing w:after="0" w:line="256" w:lineRule="auto"/>
              <w:rPr>
                <w:rFonts w:ascii="Arial" w:eastAsia="SimSun" w:hAnsi="Arial" w:cs="Times New Roman"/>
                <w:sz w:val="18"/>
                <w:szCs w:val="20"/>
                <w:lang w:val="en-GB"/>
              </w:rPr>
            </w:pPr>
            <w:r w:rsidRPr="00417E7B">
              <w:rPr>
                <w:highlight w:val="yellow"/>
              </w:rPr>
              <w:t>[Support DL reception in a carrier with intra-cell guard-bands]</w:t>
            </w:r>
          </w:p>
        </w:tc>
        <w:tc>
          <w:tcPr>
            <w:tcW w:w="5483" w:type="dxa"/>
            <w:tcBorders>
              <w:top w:val="single" w:sz="4" w:space="0" w:color="auto"/>
              <w:left w:val="single" w:sz="4" w:space="0" w:color="auto"/>
              <w:bottom w:val="single" w:sz="4" w:space="0" w:color="auto"/>
              <w:right w:val="single" w:sz="4" w:space="0" w:color="auto"/>
            </w:tcBorders>
            <w:hideMark/>
          </w:tcPr>
          <w:p w14:paraId="584771DA" w14:textId="77777777" w:rsidR="00F35BA8" w:rsidRDefault="00F35BA8" w:rsidP="00F35BA8">
            <w:r w:rsidRPr="00417E7B">
              <w:rPr>
                <w:highlight w:val="yellow"/>
              </w:rPr>
              <w:t>1. [When DL BWP has multiple RB sets, support using the available RB set bitmap in DCI 2_0 to validate the periodic CSI-RS transmission if the CSI-RS is over multiple RB-sets]</w:t>
            </w:r>
          </w:p>
          <w:p w14:paraId="053C53A5" w14:textId="4CB1B3B1" w:rsidR="00F35BA8" w:rsidRPr="003A30C0" w:rsidRDefault="00F35BA8" w:rsidP="00F35BA8">
            <w:pPr>
              <w:rPr>
                <w:lang w:val="en-GB" w:eastAsia="ja-JP"/>
              </w:rPr>
            </w:pPr>
            <w:r w:rsidRPr="003A30C0">
              <w:rPr>
                <w:rFonts w:ascii="Arial" w:eastAsia="SimSun" w:hAnsi="Arial" w:cs="Times New Roman"/>
                <w:color w:val="FF0000"/>
                <w:sz w:val="18"/>
                <w:szCs w:val="20"/>
                <w:lang w:val="en-GB" w:eastAsia="ja-JP"/>
              </w:rPr>
              <w:t>2. When DL BWP has multiple RB sets, support PDSCH reception on a subset of RB sets</w:t>
            </w:r>
          </w:p>
        </w:tc>
        <w:tc>
          <w:tcPr>
            <w:tcW w:w="1980" w:type="dxa"/>
            <w:tcBorders>
              <w:top w:val="single" w:sz="4" w:space="0" w:color="auto"/>
              <w:left w:val="single" w:sz="4" w:space="0" w:color="auto"/>
              <w:bottom w:val="single" w:sz="4" w:space="0" w:color="auto"/>
              <w:right w:val="single" w:sz="4" w:space="0" w:color="auto"/>
            </w:tcBorders>
            <w:hideMark/>
          </w:tcPr>
          <w:p w14:paraId="1CB6B0E8" w14:textId="77777777" w:rsidR="00F35BA8" w:rsidRPr="00B73FE9" w:rsidRDefault="00F35BA8" w:rsidP="00F35BA8">
            <w:pPr>
              <w:keepNext/>
              <w:keepLines/>
              <w:spacing w:after="0" w:line="256" w:lineRule="auto"/>
              <w:rPr>
                <w:rFonts w:ascii="Arial" w:eastAsia="SimSun" w:hAnsi="Arial" w:cs="Times New Roman"/>
                <w:sz w:val="18"/>
                <w:szCs w:val="20"/>
                <w:lang w:val="en-GB"/>
              </w:rPr>
            </w:pPr>
            <w:r w:rsidRPr="00B73FE9">
              <w:rPr>
                <w:rFonts w:ascii="Arial" w:eastAsia="SimSun" w:hAnsi="Arial" w:cs="Times New Roman"/>
                <w:sz w:val="18"/>
                <w:szCs w:val="20"/>
                <w:lang w:val="en-GB"/>
              </w:rPr>
              <w:t>Without this capability, UE will assume all RB sets in the DL BWP are all transmitted or none of them are transmitted</w:t>
            </w:r>
          </w:p>
        </w:tc>
      </w:tr>
    </w:tbl>
    <w:p w14:paraId="209D9904" w14:textId="77777777" w:rsidR="00B73FE9" w:rsidRDefault="00B73FE9" w:rsidP="00DD65E2">
      <w:pPr>
        <w:jc w:val="both"/>
        <w:rPr>
          <w:rFonts w:ascii="Arial" w:hAnsi="Arial" w:cs="Arial"/>
          <w:lang w:val="en-GB" w:eastAsia="ja-JP"/>
        </w:rPr>
      </w:pPr>
    </w:p>
    <w:p w14:paraId="32F09558" w14:textId="2431DC81" w:rsidR="00B37A13" w:rsidRDefault="00B37A13" w:rsidP="003A30C0">
      <w:pPr>
        <w:pStyle w:val="Heading2"/>
      </w:pPr>
      <w:r>
        <w:t>FG 10-19b</w:t>
      </w:r>
    </w:p>
    <w:p w14:paraId="27E50BCB" w14:textId="716C4147" w:rsidR="00B37A13" w:rsidRDefault="00F35BA8" w:rsidP="00DD65E2">
      <w:pPr>
        <w:jc w:val="both"/>
        <w:rPr>
          <w:rFonts w:ascii="Arial" w:hAnsi="Arial" w:cs="Arial"/>
          <w:lang w:val="en-GB" w:eastAsia="ja-JP"/>
        </w:rPr>
      </w:pPr>
      <w:r>
        <w:rPr>
          <w:rFonts w:ascii="Arial" w:hAnsi="Arial" w:cs="Arial"/>
          <w:lang w:val="en-GB" w:eastAsia="ja-JP"/>
        </w:rPr>
        <w:t>We support keeping this is a FG, but the component description needs rewording to “</w:t>
      </w:r>
      <w:r w:rsidRPr="00F35BA8">
        <w:rPr>
          <w:rFonts w:ascii="Arial" w:hAnsi="Arial" w:cs="Arial"/>
          <w:lang w:val="en-GB" w:eastAsia="ja-JP"/>
        </w:rPr>
        <w:t xml:space="preserve">When UL BWP has multiple RB sets, support transmission of UL signal or channels when LBT </w:t>
      </w:r>
      <w:r>
        <w:rPr>
          <w:rFonts w:ascii="Arial" w:hAnsi="Arial" w:cs="Arial"/>
          <w:lang w:val="en-GB" w:eastAsia="ja-JP"/>
        </w:rPr>
        <w:t xml:space="preserve">passes for only a subset of the RB sets.” </w:t>
      </w:r>
    </w:p>
    <w:p w14:paraId="6DCF9DBD" w14:textId="7627B04E" w:rsidR="00104E31" w:rsidRPr="003A30C0" w:rsidRDefault="00F35BA8" w:rsidP="003A30C0">
      <w:pPr>
        <w:pStyle w:val="Proposal"/>
        <w:rPr>
          <w:lang w:val="en-GB"/>
        </w:rPr>
      </w:pPr>
      <w:bookmarkStart w:id="14" w:name="_Toc40471829"/>
      <w:r>
        <w:rPr>
          <w:lang w:val="en-GB"/>
        </w:rPr>
        <w:t>Keep FG. Change component description to “</w:t>
      </w:r>
      <w:r w:rsidRPr="00F35BA8">
        <w:rPr>
          <w:rFonts w:cs="Arial"/>
          <w:lang w:val="en-GB" w:eastAsia="ja-JP"/>
        </w:rPr>
        <w:t xml:space="preserve">When UL BWP has multiple RB sets, support transmission of UL signal or channels when LBT </w:t>
      </w:r>
      <w:r>
        <w:rPr>
          <w:rFonts w:cs="Arial"/>
          <w:lang w:val="en-GB" w:eastAsia="ja-JP"/>
        </w:rPr>
        <w:t>passes for only a subset of the RB sets.</w:t>
      </w:r>
      <w:r>
        <w:rPr>
          <w:lang w:val="en-GB"/>
        </w:rPr>
        <w:t>”</w:t>
      </w:r>
      <w:bookmarkEnd w:id="14"/>
    </w:p>
    <w:p w14:paraId="058ECE8E" w14:textId="2D148757" w:rsidR="0085445E" w:rsidRDefault="005A1AEF" w:rsidP="00DD65E2">
      <w:pPr>
        <w:pStyle w:val="Heading2"/>
        <w:jc w:val="both"/>
      </w:pPr>
      <w:r>
        <w:t>FG 10-31</w:t>
      </w:r>
    </w:p>
    <w:p w14:paraId="40B4A86D" w14:textId="2435B5EC" w:rsidR="00E60157" w:rsidRDefault="00E60157" w:rsidP="00E60157">
      <w:pPr>
        <w:jc w:val="both"/>
        <w:rPr>
          <w:rFonts w:ascii="Arial" w:hAnsi="Arial" w:cs="Arial"/>
          <w:lang w:val="en-GB" w:eastAsia="ja-JP"/>
        </w:rPr>
      </w:pPr>
      <w:r w:rsidRPr="003A30C0">
        <w:rPr>
          <w:rFonts w:ascii="Arial" w:hAnsi="Arial" w:cs="Arial"/>
          <w:lang w:val="en-GB" w:eastAsia="ja-JP"/>
        </w:rPr>
        <w:t xml:space="preserve">We don’t </w:t>
      </w:r>
      <w:r>
        <w:rPr>
          <w:rFonts w:ascii="Arial" w:hAnsi="Arial" w:cs="Arial"/>
          <w:lang w:val="en-GB" w:eastAsia="ja-JP"/>
        </w:rPr>
        <w:t>believe that such a feature group is needed or useful. It is well understood that in unlicensed spectrum, quality cannot be ensured and is always dependent on the number of other devices trying to access the carrier. It is also well understood that CSI-RS measurements for reporting and tracking are highly implementation dependent and rely on the UE admitting measurements into its averaging processes and tracking loops when the UE is able to ascertain reliably that the measurement is legitimate.</w:t>
      </w:r>
    </w:p>
    <w:p w14:paraId="3D3717AB" w14:textId="52FDAC01" w:rsidR="007E4621" w:rsidRDefault="007E4621" w:rsidP="00E60157">
      <w:pPr>
        <w:jc w:val="both"/>
        <w:rPr>
          <w:rFonts w:ascii="Arial" w:hAnsi="Arial" w:cs="Arial"/>
          <w:lang w:val="en-GB" w:eastAsia="ja-JP"/>
        </w:rPr>
      </w:pPr>
      <w:r>
        <w:rPr>
          <w:rFonts w:ascii="Arial" w:hAnsi="Arial" w:cs="Arial"/>
          <w:lang w:val="en-GB" w:eastAsia="ja-JP"/>
        </w:rPr>
        <w:t xml:space="preserve">Furthermore, with regard to CSI-RS measurements for reporting, it is possible for the system to operate well without any changes to UE implementation since the gNB can set measurement restrictions for CSI-RS measurements to ensure that any particular measurement report is associated with a single instance of the CSI-RS. The gNB can then use only the measurements that correspond to CSI-RS occasions where the gNB transmitted so that there is no risk of noisy measurements being used. </w:t>
      </w:r>
      <w:r w:rsidR="00B65999">
        <w:rPr>
          <w:rFonts w:ascii="Arial" w:hAnsi="Arial" w:cs="Arial"/>
          <w:lang w:val="en-GB" w:eastAsia="ja-JP"/>
        </w:rPr>
        <w:t>Hence, no special capability or functionality at the UE is required for measurement reporting.</w:t>
      </w:r>
    </w:p>
    <w:p w14:paraId="3A056923" w14:textId="30450743" w:rsidR="001E58D1" w:rsidRDefault="00B65999">
      <w:pPr>
        <w:jc w:val="both"/>
        <w:rPr>
          <w:rFonts w:ascii="Arial" w:hAnsi="Arial" w:cs="Arial"/>
          <w:lang w:val="en-GB" w:eastAsia="ja-JP"/>
        </w:rPr>
      </w:pPr>
      <w:r>
        <w:rPr>
          <w:rFonts w:ascii="Arial" w:hAnsi="Arial" w:cs="Arial"/>
          <w:lang w:val="en-GB" w:eastAsia="ja-JP"/>
        </w:rPr>
        <w:t xml:space="preserve">When it comes to CSI-RS for tracking, </w:t>
      </w:r>
      <w:r w:rsidR="002E1E0E">
        <w:rPr>
          <w:rFonts w:ascii="Arial" w:hAnsi="Arial" w:cs="Arial"/>
          <w:lang w:val="en-GB" w:eastAsia="ja-JP"/>
        </w:rPr>
        <w:t xml:space="preserve">once again the system can operate by configuring the periodic TRS appropriately and by relying on aperiodic TRS. However, </w:t>
      </w:r>
      <w:r>
        <w:rPr>
          <w:rFonts w:ascii="Arial" w:hAnsi="Arial" w:cs="Arial"/>
          <w:lang w:val="en-GB" w:eastAsia="ja-JP"/>
        </w:rPr>
        <w:t xml:space="preserve">the ability to operate when some </w:t>
      </w:r>
      <w:r w:rsidR="002E1E0E">
        <w:rPr>
          <w:rFonts w:ascii="Arial" w:hAnsi="Arial" w:cs="Arial"/>
          <w:lang w:val="en-GB" w:eastAsia="ja-JP"/>
        </w:rPr>
        <w:t xml:space="preserve">information via DCI 2_0 is not available should be mandatory for operation in shared spectrum and there is no necessity to define a capability for this. </w:t>
      </w:r>
      <w:r w:rsidR="00215212">
        <w:rPr>
          <w:rFonts w:ascii="Arial" w:hAnsi="Arial" w:cs="Arial"/>
          <w:lang w:val="en-GB" w:eastAsia="ja-JP"/>
        </w:rPr>
        <w:t>Furthermore, even if a capability were to be defined, it is not good to define this capability in terms of the CO-duration since slots within the CO-duration are not guaranteed to carry the periodic CSI-RS transmissions. The gNB needs to maintain flexibility to be able to schedule any slot as an uplink slot and if no SFI is configured to the UE, then other UEs will assume CSI-RS is present when it is not and pollute their tracking loops. Considering all of this, i</w:t>
      </w:r>
      <w:r w:rsidR="001E58D1">
        <w:rPr>
          <w:rFonts w:ascii="Arial" w:hAnsi="Arial" w:cs="Arial"/>
          <w:lang w:val="en-GB" w:eastAsia="ja-JP"/>
        </w:rPr>
        <w:t xml:space="preserve">t is best to just leave it to RAN4 to define a reasonable test case for the UE to be able to measure CSI-RS when DCI 2_0 is not configured or no pertinent information is received in DCI 2_0. </w:t>
      </w:r>
    </w:p>
    <w:p w14:paraId="625AF5CE" w14:textId="4FDB362B" w:rsidR="00AA4E26" w:rsidRPr="003A30C0" w:rsidRDefault="00AA4E26" w:rsidP="00AA4E26">
      <w:pPr>
        <w:pStyle w:val="Proposal"/>
        <w:rPr>
          <w:lang w:val="en-GB"/>
        </w:rPr>
      </w:pPr>
      <w:bookmarkStart w:id="15" w:name="_Toc40471830"/>
      <w:r>
        <w:rPr>
          <w:lang w:val="en-GB"/>
        </w:rPr>
        <w:t>FG 10-31 should be removed</w:t>
      </w:r>
      <w:bookmarkEnd w:id="15"/>
    </w:p>
    <w:p w14:paraId="43850542" w14:textId="77777777" w:rsidR="00C01F33" w:rsidRPr="00CE0424" w:rsidRDefault="00C01F33" w:rsidP="00CE0424">
      <w:pPr>
        <w:pStyle w:val="Heading1"/>
      </w:pPr>
      <w:r w:rsidRPr="00CE0424">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117FD43" w14:textId="77777777" w:rsidR="00EC557E" w:rsidRDefault="006E1C82">
      <w:pPr>
        <w:pStyle w:val="TableofFigures"/>
        <w:tabs>
          <w:tab w:val="right" w:leader="dot" w:pos="9016"/>
        </w:tabs>
        <w:rPr>
          <w:rFonts w:asciiTheme="minorHAnsi" w:eastAsiaTheme="minorEastAsia" w:hAnsiTheme="minorHAnsi"/>
          <w:b w:val="0"/>
          <w:noProof/>
          <w:lang w:eastAsia="en-US"/>
        </w:rPr>
      </w:pPr>
      <w:r>
        <w:rPr>
          <w:b w:val="0"/>
          <w:bCs/>
        </w:rPr>
        <w:fldChar w:fldCharType="begin"/>
      </w:r>
      <w:r>
        <w:rPr>
          <w:bCs/>
        </w:rPr>
        <w:instrText xml:space="preserve"> TOC \n \h \z \t "Proposal" \c </w:instrText>
      </w:r>
      <w:r>
        <w:rPr>
          <w:b w:val="0"/>
          <w:bCs/>
        </w:rPr>
        <w:fldChar w:fldCharType="separate"/>
      </w:r>
      <w:hyperlink w:anchor="_Toc40471817" w:history="1">
        <w:r w:rsidR="00EC557E" w:rsidRPr="00CA0EBF">
          <w:rPr>
            <w:rStyle w:val="Hyperlink"/>
            <w:noProof/>
          </w:rPr>
          <w:t>Proposal 1</w:t>
        </w:r>
        <w:r w:rsidR="00EC557E">
          <w:rPr>
            <w:rFonts w:asciiTheme="minorHAnsi" w:eastAsiaTheme="minorEastAsia" w:hAnsiTheme="minorHAnsi"/>
            <w:b w:val="0"/>
            <w:noProof/>
            <w:lang w:eastAsia="en-US"/>
          </w:rPr>
          <w:tab/>
        </w:r>
        <w:r w:rsidR="00EC557E" w:rsidRPr="00CA0EBF">
          <w:rPr>
            <w:rStyle w:val="Hyperlink"/>
            <w:noProof/>
          </w:rPr>
          <w:t>We propose the following:</w:t>
        </w:r>
      </w:hyperlink>
    </w:p>
    <w:p w14:paraId="205BD127" w14:textId="77777777" w:rsidR="00EC557E" w:rsidRDefault="000C77B5">
      <w:pPr>
        <w:pStyle w:val="TableofFigures"/>
        <w:tabs>
          <w:tab w:val="right" w:leader="dot" w:pos="9016"/>
        </w:tabs>
        <w:rPr>
          <w:rFonts w:asciiTheme="minorHAnsi" w:eastAsiaTheme="minorEastAsia" w:hAnsiTheme="minorHAnsi"/>
          <w:b w:val="0"/>
          <w:noProof/>
          <w:lang w:eastAsia="en-US"/>
        </w:rPr>
      </w:pPr>
      <w:hyperlink w:anchor="_Toc40471818" w:history="1">
        <w:r w:rsidR="00EC557E" w:rsidRPr="00CA0EBF">
          <w:rPr>
            <w:rStyle w:val="Hyperlink"/>
            <w:rFonts w:cs="Arial"/>
            <w:noProof/>
          </w:rPr>
          <w:t>•</w:t>
        </w:r>
        <w:r w:rsidR="00EC557E">
          <w:rPr>
            <w:rFonts w:asciiTheme="minorHAnsi" w:eastAsiaTheme="minorEastAsia" w:hAnsiTheme="minorHAnsi"/>
            <w:b w:val="0"/>
            <w:noProof/>
            <w:lang w:eastAsia="en-US"/>
          </w:rPr>
          <w:tab/>
        </w:r>
        <w:r w:rsidR="00EC557E" w:rsidRPr="00CA0EBF">
          <w:rPr>
            <w:rStyle w:val="Hyperlink"/>
            <w:rFonts w:eastAsia="MS Mincho" w:cs="Arial"/>
            <w:noProof/>
          </w:rPr>
          <w:t>A feature group A should be listed as a pre-requisite for another feature group, B, only if feature group B cannot functionally operate without feature group A.</w:t>
        </w:r>
      </w:hyperlink>
    </w:p>
    <w:p w14:paraId="7D738886" w14:textId="77777777" w:rsidR="00EC557E" w:rsidRDefault="000C77B5">
      <w:pPr>
        <w:pStyle w:val="TableofFigures"/>
        <w:tabs>
          <w:tab w:val="right" w:leader="dot" w:pos="9016"/>
        </w:tabs>
        <w:rPr>
          <w:rFonts w:asciiTheme="minorHAnsi" w:eastAsiaTheme="minorEastAsia" w:hAnsiTheme="minorHAnsi"/>
          <w:b w:val="0"/>
          <w:noProof/>
          <w:lang w:eastAsia="en-US"/>
        </w:rPr>
      </w:pPr>
      <w:hyperlink w:anchor="_Toc40471819" w:history="1">
        <w:r w:rsidR="00EC557E" w:rsidRPr="00CA0EBF">
          <w:rPr>
            <w:rStyle w:val="Hyperlink"/>
            <w:noProof/>
            <w:lang w:val="en-GB"/>
          </w:rPr>
          <w:t>Proposal 2</w:t>
        </w:r>
        <w:r w:rsidR="00EC557E">
          <w:rPr>
            <w:rFonts w:asciiTheme="minorHAnsi" w:eastAsiaTheme="minorEastAsia" w:hAnsiTheme="minorHAnsi"/>
            <w:b w:val="0"/>
            <w:noProof/>
            <w:lang w:eastAsia="en-US"/>
          </w:rPr>
          <w:tab/>
        </w:r>
        <w:r w:rsidR="00EC557E" w:rsidRPr="00CA0EBF">
          <w:rPr>
            <w:rStyle w:val="Hyperlink"/>
            <w:noProof/>
            <w:lang w:val="en-GB"/>
          </w:rPr>
          <w:t>FG 2a/2b can be merged. FG 2c/2d can be merged.</w:t>
        </w:r>
      </w:hyperlink>
    </w:p>
    <w:p w14:paraId="54498832" w14:textId="77777777" w:rsidR="00EC557E" w:rsidRDefault="000C77B5">
      <w:pPr>
        <w:pStyle w:val="TableofFigures"/>
        <w:tabs>
          <w:tab w:val="right" w:leader="dot" w:pos="9016"/>
        </w:tabs>
        <w:rPr>
          <w:rFonts w:asciiTheme="minorHAnsi" w:eastAsiaTheme="minorEastAsia" w:hAnsiTheme="minorHAnsi"/>
          <w:b w:val="0"/>
          <w:noProof/>
          <w:lang w:eastAsia="en-US"/>
        </w:rPr>
      </w:pPr>
      <w:hyperlink w:anchor="_Toc40471820" w:history="1">
        <w:r w:rsidR="00EC557E" w:rsidRPr="00CA0EBF">
          <w:rPr>
            <w:rStyle w:val="Hyperlink"/>
            <w:noProof/>
            <w:lang w:val="en-GB"/>
          </w:rPr>
          <w:t>Proposal 3</w:t>
        </w:r>
        <w:r w:rsidR="00EC557E">
          <w:rPr>
            <w:rFonts w:asciiTheme="minorHAnsi" w:eastAsiaTheme="minorEastAsia" w:hAnsiTheme="minorHAnsi"/>
            <w:b w:val="0"/>
            <w:noProof/>
            <w:lang w:eastAsia="en-US"/>
          </w:rPr>
          <w:tab/>
        </w:r>
        <w:r w:rsidR="00EC557E" w:rsidRPr="00CA0EBF">
          <w:rPr>
            <w:rStyle w:val="Hyperlink"/>
            <w:noProof/>
          </w:rPr>
          <w:t>FG 10-2f for support of RAR extension from 10ms to [40ms] by decoding of the 2-bit SFN indication in DCI 1_0 does not need to be part of basic operation.</w:t>
        </w:r>
      </w:hyperlink>
    </w:p>
    <w:p w14:paraId="23FAC866" w14:textId="77777777" w:rsidR="00EC557E" w:rsidRDefault="000C77B5">
      <w:pPr>
        <w:pStyle w:val="TableofFigures"/>
        <w:tabs>
          <w:tab w:val="right" w:leader="dot" w:pos="9016"/>
        </w:tabs>
        <w:rPr>
          <w:rFonts w:asciiTheme="minorHAnsi" w:eastAsiaTheme="minorEastAsia" w:hAnsiTheme="minorHAnsi"/>
          <w:b w:val="0"/>
          <w:noProof/>
          <w:lang w:eastAsia="en-US"/>
        </w:rPr>
      </w:pPr>
      <w:hyperlink w:anchor="_Toc40471821" w:history="1">
        <w:r w:rsidR="00EC557E" w:rsidRPr="00CA0EBF">
          <w:rPr>
            <w:rStyle w:val="Hyperlink"/>
            <w:noProof/>
            <w:lang w:val="en-GB"/>
          </w:rPr>
          <w:t>Proposal 4</w:t>
        </w:r>
        <w:r w:rsidR="00EC557E">
          <w:rPr>
            <w:rFonts w:asciiTheme="minorHAnsi" w:eastAsiaTheme="minorEastAsia" w:hAnsiTheme="minorHAnsi"/>
            <w:b w:val="0"/>
            <w:noProof/>
            <w:lang w:eastAsia="en-US"/>
          </w:rPr>
          <w:tab/>
        </w:r>
        <w:r w:rsidR="00EC557E" w:rsidRPr="00CA0EBF">
          <w:rPr>
            <w:rStyle w:val="Hyperlink"/>
            <w:noProof/>
            <w:lang w:val="en-GB"/>
          </w:rPr>
          <w:t>FG 10-8 should be per UE.</w:t>
        </w:r>
      </w:hyperlink>
    </w:p>
    <w:p w14:paraId="66E6A98C" w14:textId="77777777" w:rsidR="00EC557E" w:rsidRDefault="000C77B5">
      <w:pPr>
        <w:pStyle w:val="TableofFigures"/>
        <w:tabs>
          <w:tab w:val="right" w:leader="dot" w:pos="9016"/>
        </w:tabs>
        <w:rPr>
          <w:rFonts w:asciiTheme="minorHAnsi" w:eastAsiaTheme="minorEastAsia" w:hAnsiTheme="minorHAnsi"/>
          <w:b w:val="0"/>
          <w:noProof/>
          <w:lang w:eastAsia="en-US"/>
        </w:rPr>
      </w:pPr>
      <w:hyperlink w:anchor="_Toc40471822" w:history="1">
        <w:r w:rsidR="00EC557E" w:rsidRPr="00CA0EBF">
          <w:rPr>
            <w:rStyle w:val="Hyperlink"/>
            <w:noProof/>
          </w:rPr>
          <w:t>Proposal 5</w:t>
        </w:r>
        <w:r w:rsidR="00EC557E">
          <w:rPr>
            <w:rFonts w:asciiTheme="minorHAnsi" w:eastAsiaTheme="minorEastAsia" w:hAnsiTheme="minorHAnsi"/>
            <w:b w:val="0"/>
            <w:noProof/>
            <w:lang w:eastAsia="en-US"/>
          </w:rPr>
          <w:tab/>
        </w:r>
        <w:r w:rsidR="00EC557E" w:rsidRPr="00CA0EBF">
          <w:rPr>
            <w:rStyle w:val="Hyperlink"/>
            <w:noProof/>
          </w:rPr>
          <w:t>FGs 10-9/9b/9c/9d should be per UE.</w:t>
        </w:r>
      </w:hyperlink>
    </w:p>
    <w:p w14:paraId="3A035E6A" w14:textId="77777777" w:rsidR="00EC557E" w:rsidRDefault="000C77B5">
      <w:pPr>
        <w:pStyle w:val="TableofFigures"/>
        <w:tabs>
          <w:tab w:val="right" w:leader="dot" w:pos="9016"/>
        </w:tabs>
        <w:rPr>
          <w:rFonts w:asciiTheme="minorHAnsi" w:eastAsiaTheme="minorEastAsia" w:hAnsiTheme="minorHAnsi"/>
          <w:b w:val="0"/>
          <w:noProof/>
          <w:lang w:eastAsia="en-US"/>
        </w:rPr>
      </w:pPr>
      <w:hyperlink w:anchor="_Toc40471823" w:history="1">
        <w:r w:rsidR="00EC557E" w:rsidRPr="00CA0EBF">
          <w:rPr>
            <w:rStyle w:val="Hyperlink"/>
            <w:noProof/>
            <w:lang w:val="en-GB"/>
          </w:rPr>
          <w:t>Proposal 6</w:t>
        </w:r>
        <w:r w:rsidR="00EC557E">
          <w:rPr>
            <w:rFonts w:asciiTheme="minorHAnsi" w:eastAsiaTheme="minorEastAsia" w:hAnsiTheme="minorHAnsi"/>
            <w:b w:val="0"/>
            <w:noProof/>
            <w:lang w:eastAsia="en-US"/>
          </w:rPr>
          <w:tab/>
        </w:r>
        <w:r w:rsidR="00EC557E" w:rsidRPr="00CA0EBF">
          <w:rPr>
            <w:rStyle w:val="Hyperlink"/>
            <w:noProof/>
            <w:lang w:val="en-GB"/>
          </w:rPr>
          <w:t>FG 10-10 should be per UE</w:t>
        </w:r>
      </w:hyperlink>
    </w:p>
    <w:p w14:paraId="2E49DA55" w14:textId="77777777" w:rsidR="00EC557E" w:rsidRDefault="000C77B5">
      <w:pPr>
        <w:pStyle w:val="TableofFigures"/>
        <w:tabs>
          <w:tab w:val="right" w:leader="dot" w:pos="9016"/>
        </w:tabs>
        <w:rPr>
          <w:rFonts w:asciiTheme="minorHAnsi" w:eastAsiaTheme="minorEastAsia" w:hAnsiTheme="minorHAnsi"/>
          <w:b w:val="0"/>
          <w:noProof/>
          <w:lang w:eastAsia="en-US"/>
        </w:rPr>
      </w:pPr>
      <w:hyperlink w:anchor="_Toc40471824" w:history="1">
        <w:r w:rsidR="00EC557E" w:rsidRPr="00CA0EBF">
          <w:rPr>
            <w:rStyle w:val="Hyperlink"/>
            <w:noProof/>
            <w:lang w:val="en-GB"/>
          </w:rPr>
          <w:t>Proposal 7</w:t>
        </w:r>
        <w:r w:rsidR="00EC557E">
          <w:rPr>
            <w:rFonts w:asciiTheme="minorHAnsi" w:eastAsiaTheme="minorEastAsia" w:hAnsiTheme="minorHAnsi"/>
            <w:b w:val="0"/>
            <w:noProof/>
            <w:lang w:eastAsia="en-US"/>
          </w:rPr>
          <w:tab/>
        </w:r>
        <w:r w:rsidR="00EC557E" w:rsidRPr="00CA0EBF">
          <w:rPr>
            <w:rStyle w:val="Hyperlink"/>
            <w:noProof/>
            <w:lang w:val="en-GB"/>
          </w:rPr>
          <w:t>FG 10-11 should be per UE</w:t>
        </w:r>
      </w:hyperlink>
    </w:p>
    <w:p w14:paraId="6249AFD7" w14:textId="77777777" w:rsidR="00EC557E" w:rsidRDefault="000C77B5">
      <w:pPr>
        <w:pStyle w:val="TableofFigures"/>
        <w:tabs>
          <w:tab w:val="right" w:leader="dot" w:pos="9016"/>
        </w:tabs>
        <w:rPr>
          <w:rFonts w:asciiTheme="minorHAnsi" w:eastAsiaTheme="minorEastAsia" w:hAnsiTheme="minorHAnsi"/>
          <w:b w:val="0"/>
          <w:noProof/>
          <w:lang w:eastAsia="en-US"/>
        </w:rPr>
      </w:pPr>
      <w:hyperlink w:anchor="_Toc40471825" w:history="1">
        <w:r w:rsidR="00EC557E" w:rsidRPr="00CA0EBF">
          <w:rPr>
            <w:rStyle w:val="Hyperlink"/>
            <w:noProof/>
            <w:lang w:val="en-GB"/>
          </w:rPr>
          <w:t>Proposal 8</w:t>
        </w:r>
        <w:r w:rsidR="00EC557E">
          <w:rPr>
            <w:rFonts w:asciiTheme="minorHAnsi" w:eastAsiaTheme="minorEastAsia" w:hAnsiTheme="minorHAnsi"/>
            <w:b w:val="0"/>
            <w:noProof/>
            <w:lang w:eastAsia="en-US"/>
          </w:rPr>
          <w:tab/>
        </w:r>
        <w:r w:rsidR="00EC557E" w:rsidRPr="00CA0EBF">
          <w:rPr>
            <w:rStyle w:val="Hyperlink"/>
            <w:noProof/>
            <w:lang w:val="en-GB"/>
          </w:rPr>
          <w:t>FG 10-16 should be per UE</w:t>
        </w:r>
      </w:hyperlink>
    </w:p>
    <w:p w14:paraId="3FEBB774" w14:textId="77777777" w:rsidR="00EC557E" w:rsidRDefault="000C77B5">
      <w:pPr>
        <w:pStyle w:val="TableofFigures"/>
        <w:tabs>
          <w:tab w:val="right" w:leader="dot" w:pos="9016"/>
        </w:tabs>
        <w:rPr>
          <w:rFonts w:asciiTheme="minorHAnsi" w:eastAsiaTheme="minorEastAsia" w:hAnsiTheme="minorHAnsi"/>
          <w:b w:val="0"/>
          <w:noProof/>
          <w:lang w:eastAsia="en-US"/>
        </w:rPr>
      </w:pPr>
      <w:hyperlink w:anchor="_Toc40471826" w:history="1">
        <w:r w:rsidR="00EC557E" w:rsidRPr="00CA0EBF">
          <w:rPr>
            <w:rStyle w:val="Hyperlink"/>
            <w:noProof/>
            <w:lang w:val="en-GB"/>
          </w:rPr>
          <w:t>Proposal 9</w:t>
        </w:r>
        <w:r w:rsidR="00EC557E">
          <w:rPr>
            <w:rFonts w:asciiTheme="minorHAnsi" w:eastAsiaTheme="minorEastAsia" w:hAnsiTheme="minorHAnsi"/>
            <w:b w:val="0"/>
            <w:noProof/>
            <w:lang w:eastAsia="en-US"/>
          </w:rPr>
          <w:tab/>
        </w:r>
        <w:r w:rsidR="00EC557E" w:rsidRPr="00CA0EBF">
          <w:rPr>
            <w:rStyle w:val="Hyperlink"/>
            <w:noProof/>
            <w:lang w:val="en-GB"/>
          </w:rPr>
          <w:t>FG 10-17 should be per UE</w:t>
        </w:r>
      </w:hyperlink>
    </w:p>
    <w:p w14:paraId="50E9A9A4" w14:textId="77777777" w:rsidR="00EC557E" w:rsidRDefault="000C77B5">
      <w:pPr>
        <w:pStyle w:val="TableofFigures"/>
        <w:tabs>
          <w:tab w:val="right" w:leader="dot" w:pos="9016"/>
        </w:tabs>
        <w:rPr>
          <w:rFonts w:asciiTheme="minorHAnsi" w:eastAsiaTheme="minorEastAsia" w:hAnsiTheme="minorHAnsi"/>
          <w:b w:val="0"/>
          <w:noProof/>
          <w:lang w:eastAsia="en-US"/>
        </w:rPr>
      </w:pPr>
      <w:hyperlink w:anchor="_Toc40471827" w:history="1">
        <w:r w:rsidR="00EC557E" w:rsidRPr="00CA0EBF">
          <w:rPr>
            <w:rStyle w:val="Hyperlink"/>
            <w:noProof/>
            <w:lang w:val="en-GB"/>
          </w:rPr>
          <w:t>Proposal 10</w:t>
        </w:r>
        <w:r w:rsidR="00EC557E">
          <w:rPr>
            <w:rFonts w:asciiTheme="minorHAnsi" w:eastAsiaTheme="minorEastAsia" w:hAnsiTheme="minorHAnsi"/>
            <w:b w:val="0"/>
            <w:noProof/>
            <w:lang w:eastAsia="en-US"/>
          </w:rPr>
          <w:tab/>
        </w:r>
        <w:r w:rsidR="00EC557E" w:rsidRPr="00CA0EBF">
          <w:rPr>
            <w:rStyle w:val="Hyperlink"/>
            <w:noProof/>
            <w:lang w:val="en-GB"/>
          </w:rPr>
          <w:t>Keep FG 10-19; FFS can be deleted</w:t>
        </w:r>
      </w:hyperlink>
    </w:p>
    <w:p w14:paraId="2F1DE3E0" w14:textId="77777777" w:rsidR="00EC557E" w:rsidRDefault="000C77B5">
      <w:pPr>
        <w:pStyle w:val="TableofFigures"/>
        <w:tabs>
          <w:tab w:val="right" w:leader="dot" w:pos="9016"/>
        </w:tabs>
        <w:rPr>
          <w:rFonts w:asciiTheme="minorHAnsi" w:eastAsiaTheme="minorEastAsia" w:hAnsiTheme="minorHAnsi"/>
          <w:b w:val="0"/>
          <w:noProof/>
          <w:lang w:eastAsia="en-US"/>
        </w:rPr>
      </w:pPr>
      <w:hyperlink w:anchor="_Toc40471828" w:history="1">
        <w:r w:rsidR="00EC557E" w:rsidRPr="00CA0EBF">
          <w:rPr>
            <w:rStyle w:val="Hyperlink"/>
            <w:noProof/>
            <w:lang w:val="en-GB"/>
          </w:rPr>
          <w:t>Proposal 11</w:t>
        </w:r>
        <w:r w:rsidR="00EC557E">
          <w:rPr>
            <w:rFonts w:asciiTheme="minorHAnsi" w:eastAsiaTheme="minorEastAsia" w:hAnsiTheme="minorHAnsi"/>
            <w:b w:val="0"/>
            <w:noProof/>
            <w:lang w:eastAsia="en-US"/>
          </w:rPr>
          <w:tab/>
        </w:r>
        <w:r w:rsidR="00EC557E" w:rsidRPr="00CA0EBF">
          <w:rPr>
            <w:rStyle w:val="Hyperlink"/>
            <w:noProof/>
            <w:lang w:val="en-GB"/>
          </w:rPr>
          <w:t>Keep FG. Add a component to FG 10-19a for reception of PDSCH over a subset of RB sets as follows</w:t>
        </w:r>
      </w:hyperlink>
    </w:p>
    <w:p w14:paraId="28BBE669" w14:textId="77777777" w:rsidR="00EC557E" w:rsidRDefault="000C77B5">
      <w:pPr>
        <w:pStyle w:val="TableofFigures"/>
        <w:tabs>
          <w:tab w:val="right" w:leader="dot" w:pos="9016"/>
        </w:tabs>
        <w:rPr>
          <w:rFonts w:asciiTheme="minorHAnsi" w:eastAsiaTheme="minorEastAsia" w:hAnsiTheme="minorHAnsi"/>
          <w:b w:val="0"/>
          <w:noProof/>
          <w:lang w:eastAsia="en-US"/>
        </w:rPr>
      </w:pPr>
      <w:hyperlink w:anchor="_Toc40471829" w:history="1">
        <w:r w:rsidR="00EC557E" w:rsidRPr="00CA0EBF">
          <w:rPr>
            <w:rStyle w:val="Hyperlink"/>
            <w:noProof/>
            <w:lang w:val="en-GB"/>
          </w:rPr>
          <w:t>Proposal 12</w:t>
        </w:r>
        <w:r w:rsidR="00EC557E">
          <w:rPr>
            <w:rFonts w:asciiTheme="minorHAnsi" w:eastAsiaTheme="minorEastAsia" w:hAnsiTheme="minorHAnsi"/>
            <w:b w:val="0"/>
            <w:noProof/>
            <w:lang w:eastAsia="en-US"/>
          </w:rPr>
          <w:tab/>
        </w:r>
        <w:r w:rsidR="00EC557E" w:rsidRPr="00CA0EBF">
          <w:rPr>
            <w:rStyle w:val="Hyperlink"/>
            <w:noProof/>
            <w:lang w:val="en-GB"/>
          </w:rPr>
          <w:t>Keep FG. Change component description to “</w:t>
        </w:r>
        <w:r w:rsidR="00EC557E" w:rsidRPr="00CA0EBF">
          <w:rPr>
            <w:rStyle w:val="Hyperlink"/>
            <w:rFonts w:cs="Arial"/>
            <w:noProof/>
            <w:lang w:val="en-GB" w:eastAsia="ja-JP"/>
          </w:rPr>
          <w:t>When UL BWP has multiple RB sets, support transmission of UL signal or channels when LBT passes for only a subset of the RB sets.</w:t>
        </w:r>
        <w:r w:rsidR="00EC557E" w:rsidRPr="00CA0EBF">
          <w:rPr>
            <w:rStyle w:val="Hyperlink"/>
            <w:noProof/>
            <w:lang w:val="en-GB"/>
          </w:rPr>
          <w:t>”</w:t>
        </w:r>
      </w:hyperlink>
    </w:p>
    <w:p w14:paraId="4B832269" w14:textId="77777777" w:rsidR="00EC557E" w:rsidRDefault="000C77B5">
      <w:pPr>
        <w:pStyle w:val="TableofFigures"/>
        <w:tabs>
          <w:tab w:val="right" w:leader="dot" w:pos="9016"/>
        </w:tabs>
        <w:rPr>
          <w:rFonts w:asciiTheme="minorHAnsi" w:eastAsiaTheme="minorEastAsia" w:hAnsiTheme="minorHAnsi"/>
          <w:b w:val="0"/>
          <w:noProof/>
          <w:lang w:eastAsia="en-US"/>
        </w:rPr>
      </w:pPr>
      <w:hyperlink w:anchor="_Toc40471830" w:history="1">
        <w:r w:rsidR="00EC557E" w:rsidRPr="00CA0EBF">
          <w:rPr>
            <w:rStyle w:val="Hyperlink"/>
            <w:noProof/>
            <w:lang w:val="en-GB"/>
          </w:rPr>
          <w:t>Proposal 13</w:t>
        </w:r>
        <w:r w:rsidR="00EC557E">
          <w:rPr>
            <w:rFonts w:asciiTheme="minorHAnsi" w:eastAsiaTheme="minorEastAsia" w:hAnsiTheme="minorHAnsi"/>
            <w:b w:val="0"/>
            <w:noProof/>
            <w:lang w:eastAsia="en-US"/>
          </w:rPr>
          <w:tab/>
        </w:r>
        <w:r w:rsidR="00EC557E" w:rsidRPr="00CA0EBF">
          <w:rPr>
            <w:rStyle w:val="Hyperlink"/>
            <w:noProof/>
            <w:lang w:val="en-GB"/>
          </w:rPr>
          <w:t>FG 10-31 should be removed</w:t>
        </w:r>
      </w:hyperlink>
    </w:p>
    <w:p w14:paraId="4AD2F895" w14:textId="3CB39997" w:rsidR="006E1C82" w:rsidRPr="00CE0424" w:rsidRDefault="006E1C82" w:rsidP="006E1C82">
      <w:pPr>
        <w:pStyle w:val="BodyText"/>
        <w:rPr>
          <w:b/>
          <w:bCs/>
        </w:rPr>
      </w:pPr>
      <w:r>
        <w:rPr>
          <w:b/>
          <w:bCs/>
        </w:rPr>
        <w:fldChar w:fldCharType="end"/>
      </w:r>
    </w:p>
    <w:p w14:paraId="0C652C29" w14:textId="77777777" w:rsidR="00F507D1" w:rsidRPr="00CE0424" w:rsidRDefault="00F507D1" w:rsidP="00CE0424">
      <w:pPr>
        <w:pStyle w:val="Heading1"/>
      </w:pPr>
      <w:bookmarkStart w:id="16" w:name="_In-sequence_SDU_delivery"/>
      <w:bookmarkEnd w:id="16"/>
      <w:r w:rsidRPr="00CE0424">
        <w:t>References</w:t>
      </w:r>
    </w:p>
    <w:p w14:paraId="5A2BEC41" w14:textId="1EC84D05" w:rsidR="00DB070A" w:rsidRPr="00CE0424" w:rsidRDefault="0097028D" w:rsidP="00F8114B">
      <w:pPr>
        <w:pStyle w:val="Reference"/>
      </w:pPr>
      <w:bookmarkStart w:id="17" w:name="_Ref37169650"/>
      <w:r>
        <w:t>R1-200</w:t>
      </w:r>
      <w:r w:rsidR="00F8114B">
        <w:t>3073</w:t>
      </w:r>
      <w:r>
        <w:t>, “</w:t>
      </w:r>
      <w:r w:rsidR="00F8114B">
        <w:rPr>
          <w:rFonts w:eastAsia="Malgun Gothic"/>
          <w:lang w:eastAsia="en-US"/>
        </w:rPr>
        <w:t>RAN1 UE features list for Rel-16 NR after RAN1#100bis-E</w:t>
      </w:r>
      <w:r>
        <w:t xml:space="preserve">,” </w:t>
      </w:r>
      <w:r w:rsidRPr="0097028D">
        <w:t>AT&amp;T, NTT DOCOMO, INC.</w:t>
      </w:r>
      <w:r>
        <w:t>, RAN1#100</w:t>
      </w:r>
      <w:r w:rsidR="00F8114B">
        <w:t>b</w:t>
      </w:r>
      <w:r>
        <w:t xml:space="preserve">-e, </w:t>
      </w:r>
      <w:r w:rsidR="00F8114B">
        <w:t>April</w:t>
      </w:r>
      <w:r>
        <w:t xml:space="preserve"> 2020.</w:t>
      </w:r>
      <w:bookmarkEnd w:id="17"/>
    </w:p>
    <w:sectPr w:rsidR="00DB070A" w:rsidRPr="00CE0424" w:rsidSect="00F71AA5">
      <w:headerReference w:type="even" r:id="rId11"/>
      <w:footerReference w:type="default" r:id="rId12"/>
      <w:footnotePr>
        <w:numRestart w:val="eachSect"/>
      </w:footnotePr>
      <w:pgSz w:w="11906" w:h="16838" w:code="9"/>
      <w:pgMar w:top="1440" w:right="1440" w:bottom="1440" w:left="1440" w:header="680" w:footer="567"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F7415C6" w16cex:dateUtc="2020-04-10T22:16:00Z"/>
  <w16cex:commentExtensible w16cex:durableId="1A5E1B4D" w16cex:dateUtc="2020-04-10T22: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D43D1" w14:textId="77777777" w:rsidR="000C77B5" w:rsidRDefault="000C77B5">
      <w:r>
        <w:separator/>
      </w:r>
    </w:p>
  </w:endnote>
  <w:endnote w:type="continuationSeparator" w:id="0">
    <w:p w14:paraId="3886E0EF" w14:textId="77777777" w:rsidR="000C77B5" w:rsidRDefault="000C77B5">
      <w:r>
        <w:continuationSeparator/>
      </w:r>
    </w:p>
  </w:endnote>
  <w:endnote w:type="continuationNotice" w:id="1">
    <w:p w14:paraId="49B4F4AC" w14:textId="77777777" w:rsidR="000C77B5" w:rsidRDefault="000C77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897C05" w:rsidRDefault="00897C0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8BD65" w14:textId="77777777" w:rsidR="000C77B5" w:rsidRDefault="000C77B5">
      <w:r>
        <w:separator/>
      </w:r>
    </w:p>
  </w:footnote>
  <w:footnote w:type="continuationSeparator" w:id="0">
    <w:p w14:paraId="6519664A" w14:textId="77777777" w:rsidR="000C77B5" w:rsidRDefault="000C77B5">
      <w:r>
        <w:continuationSeparator/>
      </w:r>
    </w:p>
  </w:footnote>
  <w:footnote w:type="continuationNotice" w:id="1">
    <w:p w14:paraId="41684F71" w14:textId="77777777" w:rsidR="000C77B5" w:rsidRDefault="000C77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897C05" w:rsidRDefault="00897C0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B073FB"/>
    <w:multiLevelType w:val="hybridMultilevel"/>
    <w:tmpl w:val="83BAE3FC"/>
    <w:lvl w:ilvl="0" w:tplc="F9968460">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6FF761A"/>
    <w:multiLevelType w:val="hybridMultilevel"/>
    <w:tmpl w:val="13947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01C91"/>
    <w:multiLevelType w:val="hybridMultilevel"/>
    <w:tmpl w:val="707CE06E"/>
    <w:lvl w:ilvl="0" w:tplc="7624AE3A">
      <w:numFmt w:val="bullet"/>
      <w:lvlText w:val="•"/>
      <w:lvlJc w:val="left"/>
      <w:pPr>
        <w:ind w:left="1450" w:hanging="109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959DD"/>
    <w:multiLevelType w:val="hybridMultilevel"/>
    <w:tmpl w:val="5D9C8110"/>
    <w:lvl w:ilvl="0" w:tplc="7624AE3A">
      <w:numFmt w:val="bullet"/>
      <w:lvlText w:val="•"/>
      <w:lvlJc w:val="left"/>
      <w:pPr>
        <w:ind w:left="3151" w:hanging="1090"/>
      </w:pPr>
      <w:rPr>
        <w:rFonts w:ascii="Arial" w:eastAsiaTheme="minorHAnsi" w:hAnsi="Arial" w:cs="Aria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43362F"/>
    <w:multiLevelType w:val="hybridMultilevel"/>
    <w:tmpl w:val="CCB26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33E11"/>
    <w:multiLevelType w:val="hybridMultilevel"/>
    <w:tmpl w:val="C7105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BD295C"/>
    <w:multiLevelType w:val="hybridMultilevel"/>
    <w:tmpl w:val="C4FED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AD2C08"/>
    <w:multiLevelType w:val="hybridMultilevel"/>
    <w:tmpl w:val="6EFE832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621D20"/>
    <w:multiLevelType w:val="hybridMultilevel"/>
    <w:tmpl w:val="6A0E3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6F2794"/>
    <w:multiLevelType w:val="hybridMultilevel"/>
    <w:tmpl w:val="795A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FF1B86"/>
    <w:multiLevelType w:val="hybridMultilevel"/>
    <w:tmpl w:val="39C8F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2E1A3C"/>
    <w:multiLevelType w:val="hybridMultilevel"/>
    <w:tmpl w:val="4412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BEF3714"/>
    <w:multiLevelType w:val="hybridMultilevel"/>
    <w:tmpl w:val="5A247ECC"/>
    <w:lvl w:ilvl="0" w:tplc="9CE6CD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A869E0"/>
    <w:multiLevelType w:val="hybridMultilevel"/>
    <w:tmpl w:val="93CA10E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5" w15:restartNumberingAfterBreak="0">
    <w:nsid w:val="6D8A0DD4"/>
    <w:multiLevelType w:val="hybridMultilevel"/>
    <w:tmpl w:val="5B4AA0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2B840F0"/>
    <w:multiLevelType w:val="hybridMultilevel"/>
    <w:tmpl w:val="FBD23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7"/>
  </w:num>
  <w:num w:numId="3">
    <w:abstractNumId w:val="22"/>
  </w:num>
  <w:num w:numId="4">
    <w:abstractNumId w:val="23"/>
  </w:num>
  <w:num w:numId="5">
    <w:abstractNumId w:val="17"/>
  </w:num>
  <w:num w:numId="6">
    <w:abstractNumId w:val="26"/>
  </w:num>
  <w:num w:numId="7">
    <w:abstractNumId w:val="30"/>
  </w:num>
  <w:num w:numId="8">
    <w:abstractNumId w:val="18"/>
  </w:num>
  <w:num w:numId="9">
    <w:abstractNumId w:val="14"/>
  </w:num>
  <w:num w:numId="10">
    <w:abstractNumId w:val="2"/>
  </w:num>
  <w:num w:numId="11">
    <w:abstractNumId w:val="1"/>
  </w:num>
  <w:num w:numId="12">
    <w:abstractNumId w:val="0"/>
  </w:num>
  <w:num w:numId="13">
    <w:abstractNumId w:val="28"/>
  </w:num>
  <w:num w:numId="14">
    <w:abstractNumId w:val="29"/>
  </w:num>
  <w:num w:numId="15">
    <w:abstractNumId w:val="25"/>
  </w:num>
  <w:num w:numId="16">
    <w:abstractNumId w:val="32"/>
  </w:num>
  <w:num w:numId="17">
    <w:abstractNumId w:val="9"/>
  </w:num>
  <w:num w:numId="18">
    <w:abstractNumId w:val="12"/>
  </w:num>
  <w:num w:numId="19">
    <w:abstractNumId w:val="4"/>
  </w:num>
  <w:num w:numId="20">
    <w:abstractNumId w:val="38"/>
  </w:num>
  <w:num w:numId="21">
    <w:abstractNumId w:val="20"/>
  </w:num>
  <w:num w:numId="22">
    <w:abstractNumId w:val="36"/>
  </w:num>
  <w:num w:numId="23">
    <w:abstractNumId w:val="33"/>
  </w:num>
  <w:num w:numId="24">
    <w:abstractNumId w:val="16"/>
  </w:num>
  <w:num w:numId="25">
    <w:abstractNumId w:val="37"/>
  </w:num>
  <w:num w:numId="26">
    <w:abstractNumId w:val="21"/>
  </w:num>
  <w:num w:numId="27">
    <w:abstractNumId w:val="35"/>
  </w:num>
  <w:num w:numId="28">
    <w:abstractNumId w:val="15"/>
  </w:num>
  <w:num w:numId="29">
    <w:abstractNumId w:val="19"/>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5"/>
  </w:num>
  <w:num w:numId="33">
    <w:abstractNumId w:val="6"/>
  </w:num>
  <w:num w:numId="34">
    <w:abstractNumId w:val="24"/>
  </w:num>
  <w:num w:numId="35">
    <w:abstractNumId w:val="31"/>
  </w:num>
  <w:num w:numId="36">
    <w:abstractNumId w:val="10"/>
  </w:num>
  <w:num w:numId="37">
    <w:abstractNumId w:val="13"/>
  </w:num>
  <w:num w:numId="38">
    <w:abstractNumId w:val="7"/>
  </w:num>
  <w:num w:numId="39">
    <w:abstractNumId w:val="11"/>
  </w:num>
  <w:num w:numId="40">
    <w:abstractNumId w:val="8"/>
  </w:num>
  <w:num w:numId="41">
    <w:abstractNumId w:val="22"/>
  </w:num>
  <w:num w:numId="42">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07FE1"/>
    <w:rsid w:val="00011B28"/>
    <w:rsid w:val="000145FB"/>
    <w:rsid w:val="00014DF8"/>
    <w:rsid w:val="00015D15"/>
    <w:rsid w:val="00022CF3"/>
    <w:rsid w:val="0002564D"/>
    <w:rsid w:val="00025ECA"/>
    <w:rsid w:val="00027CF6"/>
    <w:rsid w:val="0003144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362"/>
    <w:rsid w:val="000855EB"/>
    <w:rsid w:val="00085B52"/>
    <w:rsid w:val="000866F2"/>
    <w:rsid w:val="0009009F"/>
    <w:rsid w:val="00091557"/>
    <w:rsid w:val="000924C1"/>
    <w:rsid w:val="000924F0"/>
    <w:rsid w:val="00093474"/>
    <w:rsid w:val="0009510F"/>
    <w:rsid w:val="000A1B7B"/>
    <w:rsid w:val="000A56F2"/>
    <w:rsid w:val="000B2719"/>
    <w:rsid w:val="000B2F3A"/>
    <w:rsid w:val="000B3A8F"/>
    <w:rsid w:val="000B4AB9"/>
    <w:rsid w:val="000B58C3"/>
    <w:rsid w:val="000B61E9"/>
    <w:rsid w:val="000C165A"/>
    <w:rsid w:val="000C2E19"/>
    <w:rsid w:val="000C77B5"/>
    <w:rsid w:val="000D0D07"/>
    <w:rsid w:val="000D4797"/>
    <w:rsid w:val="000E0527"/>
    <w:rsid w:val="000E1E92"/>
    <w:rsid w:val="000E3014"/>
    <w:rsid w:val="000E3B03"/>
    <w:rsid w:val="000F06D6"/>
    <w:rsid w:val="000F0EB1"/>
    <w:rsid w:val="000F1106"/>
    <w:rsid w:val="000F3BE9"/>
    <w:rsid w:val="000F3F6C"/>
    <w:rsid w:val="000F6A78"/>
    <w:rsid w:val="000F6DF3"/>
    <w:rsid w:val="001005FF"/>
    <w:rsid w:val="00104E31"/>
    <w:rsid w:val="001062FB"/>
    <w:rsid w:val="001063E6"/>
    <w:rsid w:val="00106D0B"/>
    <w:rsid w:val="00113CF4"/>
    <w:rsid w:val="001153EA"/>
    <w:rsid w:val="00115643"/>
    <w:rsid w:val="00116765"/>
    <w:rsid w:val="001219F5"/>
    <w:rsid w:val="00121A20"/>
    <w:rsid w:val="0012377F"/>
    <w:rsid w:val="00124314"/>
    <w:rsid w:val="00126B4A"/>
    <w:rsid w:val="00132FD0"/>
    <w:rsid w:val="00134068"/>
    <w:rsid w:val="001344C0"/>
    <w:rsid w:val="001346FA"/>
    <w:rsid w:val="00135252"/>
    <w:rsid w:val="00137AB5"/>
    <w:rsid w:val="00137F0B"/>
    <w:rsid w:val="00150495"/>
    <w:rsid w:val="00151E23"/>
    <w:rsid w:val="001526E0"/>
    <w:rsid w:val="001551B5"/>
    <w:rsid w:val="00157983"/>
    <w:rsid w:val="0016021A"/>
    <w:rsid w:val="0016210E"/>
    <w:rsid w:val="001659C1"/>
    <w:rsid w:val="00173A8E"/>
    <w:rsid w:val="0017459C"/>
    <w:rsid w:val="0017502C"/>
    <w:rsid w:val="00177FA8"/>
    <w:rsid w:val="0018143F"/>
    <w:rsid w:val="00181FF8"/>
    <w:rsid w:val="00186E72"/>
    <w:rsid w:val="00190AC1"/>
    <w:rsid w:val="0019341A"/>
    <w:rsid w:val="00197DF9"/>
    <w:rsid w:val="001A1987"/>
    <w:rsid w:val="001A2564"/>
    <w:rsid w:val="001A4F0B"/>
    <w:rsid w:val="001A6173"/>
    <w:rsid w:val="001A6CBA"/>
    <w:rsid w:val="001B0D97"/>
    <w:rsid w:val="001B5A5D"/>
    <w:rsid w:val="001C1CE5"/>
    <w:rsid w:val="001C3D2A"/>
    <w:rsid w:val="001C4E0E"/>
    <w:rsid w:val="001D17C4"/>
    <w:rsid w:val="001D51BA"/>
    <w:rsid w:val="001D53E7"/>
    <w:rsid w:val="001D6342"/>
    <w:rsid w:val="001D6D53"/>
    <w:rsid w:val="001E5266"/>
    <w:rsid w:val="001E58D1"/>
    <w:rsid w:val="001E58E2"/>
    <w:rsid w:val="001E7644"/>
    <w:rsid w:val="001E7AED"/>
    <w:rsid w:val="001F3916"/>
    <w:rsid w:val="001F54C5"/>
    <w:rsid w:val="001F662C"/>
    <w:rsid w:val="001F7074"/>
    <w:rsid w:val="00200490"/>
    <w:rsid w:val="0020071A"/>
    <w:rsid w:val="00201F3A"/>
    <w:rsid w:val="00203F96"/>
    <w:rsid w:val="002069B2"/>
    <w:rsid w:val="00207FA3"/>
    <w:rsid w:val="0021199D"/>
    <w:rsid w:val="002131C7"/>
    <w:rsid w:val="00214DA8"/>
    <w:rsid w:val="00215212"/>
    <w:rsid w:val="00215423"/>
    <w:rsid w:val="002158FA"/>
    <w:rsid w:val="00220600"/>
    <w:rsid w:val="002224DB"/>
    <w:rsid w:val="00223FCB"/>
    <w:rsid w:val="002252C3"/>
    <w:rsid w:val="00225C54"/>
    <w:rsid w:val="0022726A"/>
    <w:rsid w:val="00230765"/>
    <w:rsid w:val="00230D18"/>
    <w:rsid w:val="002319E4"/>
    <w:rsid w:val="00235632"/>
    <w:rsid w:val="00235872"/>
    <w:rsid w:val="00241559"/>
    <w:rsid w:val="0024281A"/>
    <w:rsid w:val="002435B3"/>
    <w:rsid w:val="00245167"/>
    <w:rsid w:val="002458EB"/>
    <w:rsid w:val="002500C8"/>
    <w:rsid w:val="00251295"/>
    <w:rsid w:val="00253853"/>
    <w:rsid w:val="00257543"/>
    <w:rsid w:val="002617E7"/>
    <w:rsid w:val="00264228"/>
    <w:rsid w:val="00264334"/>
    <w:rsid w:val="0026473E"/>
    <w:rsid w:val="00266214"/>
    <w:rsid w:val="00267C83"/>
    <w:rsid w:val="0027144F"/>
    <w:rsid w:val="00271813"/>
    <w:rsid w:val="00271F3A"/>
    <w:rsid w:val="00273278"/>
    <w:rsid w:val="0027357D"/>
    <w:rsid w:val="002737F4"/>
    <w:rsid w:val="002805F5"/>
    <w:rsid w:val="00280751"/>
    <w:rsid w:val="0028280A"/>
    <w:rsid w:val="00283FE1"/>
    <w:rsid w:val="00286ACD"/>
    <w:rsid w:val="00287838"/>
    <w:rsid w:val="002907B5"/>
    <w:rsid w:val="002920EB"/>
    <w:rsid w:val="00292EB7"/>
    <w:rsid w:val="00296227"/>
    <w:rsid w:val="00296F44"/>
    <w:rsid w:val="0029777D"/>
    <w:rsid w:val="002A055E"/>
    <w:rsid w:val="002A1D4E"/>
    <w:rsid w:val="002A2869"/>
    <w:rsid w:val="002A2E80"/>
    <w:rsid w:val="002A6EA4"/>
    <w:rsid w:val="002B24D6"/>
    <w:rsid w:val="002C41E6"/>
    <w:rsid w:val="002D071A"/>
    <w:rsid w:val="002D3327"/>
    <w:rsid w:val="002D34B2"/>
    <w:rsid w:val="002D48B0"/>
    <w:rsid w:val="002D5B37"/>
    <w:rsid w:val="002D7637"/>
    <w:rsid w:val="002E149C"/>
    <w:rsid w:val="002E17F2"/>
    <w:rsid w:val="002E1E0E"/>
    <w:rsid w:val="002E3267"/>
    <w:rsid w:val="002E750D"/>
    <w:rsid w:val="002E7CAE"/>
    <w:rsid w:val="002F13E4"/>
    <w:rsid w:val="002F2771"/>
    <w:rsid w:val="002F37A9"/>
    <w:rsid w:val="002F6FE6"/>
    <w:rsid w:val="00301CE6"/>
    <w:rsid w:val="0030256B"/>
    <w:rsid w:val="0030501F"/>
    <w:rsid w:val="00307BA1"/>
    <w:rsid w:val="00311702"/>
    <w:rsid w:val="00311E82"/>
    <w:rsid w:val="00313FD6"/>
    <w:rsid w:val="003143BD"/>
    <w:rsid w:val="00315363"/>
    <w:rsid w:val="003203ED"/>
    <w:rsid w:val="00320DE4"/>
    <w:rsid w:val="00322C9F"/>
    <w:rsid w:val="00324D23"/>
    <w:rsid w:val="00331751"/>
    <w:rsid w:val="00334579"/>
    <w:rsid w:val="00335858"/>
    <w:rsid w:val="00336BDA"/>
    <w:rsid w:val="00342BD7"/>
    <w:rsid w:val="00343A0E"/>
    <w:rsid w:val="00346DB5"/>
    <w:rsid w:val="003477B1"/>
    <w:rsid w:val="00350FD3"/>
    <w:rsid w:val="00357380"/>
    <w:rsid w:val="003602D9"/>
    <w:rsid w:val="003604CE"/>
    <w:rsid w:val="00363790"/>
    <w:rsid w:val="00370E47"/>
    <w:rsid w:val="003719F2"/>
    <w:rsid w:val="003742AC"/>
    <w:rsid w:val="00377CE1"/>
    <w:rsid w:val="00385BF0"/>
    <w:rsid w:val="003939FF"/>
    <w:rsid w:val="003A2223"/>
    <w:rsid w:val="003A2A0F"/>
    <w:rsid w:val="003A30C0"/>
    <w:rsid w:val="003A404E"/>
    <w:rsid w:val="003A45A1"/>
    <w:rsid w:val="003A5B0A"/>
    <w:rsid w:val="003A6BAC"/>
    <w:rsid w:val="003A70A4"/>
    <w:rsid w:val="003A7EF3"/>
    <w:rsid w:val="003B00A8"/>
    <w:rsid w:val="003B159C"/>
    <w:rsid w:val="003B369F"/>
    <w:rsid w:val="003B36A3"/>
    <w:rsid w:val="003B6273"/>
    <w:rsid w:val="003B64BB"/>
    <w:rsid w:val="003B7FE5"/>
    <w:rsid w:val="003C11C8"/>
    <w:rsid w:val="003C2702"/>
    <w:rsid w:val="003C419C"/>
    <w:rsid w:val="003C4E30"/>
    <w:rsid w:val="003C7806"/>
    <w:rsid w:val="003D109F"/>
    <w:rsid w:val="003D2478"/>
    <w:rsid w:val="003D3C45"/>
    <w:rsid w:val="003D5B1F"/>
    <w:rsid w:val="003D74FE"/>
    <w:rsid w:val="003E15FA"/>
    <w:rsid w:val="003E55E4"/>
    <w:rsid w:val="003E74E3"/>
    <w:rsid w:val="003F0417"/>
    <w:rsid w:val="003F05C7"/>
    <w:rsid w:val="003F130A"/>
    <w:rsid w:val="003F2CD4"/>
    <w:rsid w:val="003F581B"/>
    <w:rsid w:val="003F6BBE"/>
    <w:rsid w:val="004000E8"/>
    <w:rsid w:val="004018CA"/>
    <w:rsid w:val="00402E2B"/>
    <w:rsid w:val="0040512B"/>
    <w:rsid w:val="00405B4D"/>
    <w:rsid w:val="00405CA5"/>
    <w:rsid w:val="00407CD3"/>
    <w:rsid w:val="00410134"/>
    <w:rsid w:val="00410B72"/>
    <w:rsid w:val="00410F18"/>
    <w:rsid w:val="0041263E"/>
    <w:rsid w:val="00413AAC"/>
    <w:rsid w:val="00413E92"/>
    <w:rsid w:val="00421105"/>
    <w:rsid w:val="00422AA4"/>
    <w:rsid w:val="004242F4"/>
    <w:rsid w:val="00426CC3"/>
    <w:rsid w:val="00427248"/>
    <w:rsid w:val="00437447"/>
    <w:rsid w:val="00441A92"/>
    <w:rsid w:val="00443058"/>
    <w:rsid w:val="004431DC"/>
    <w:rsid w:val="00444E2F"/>
    <w:rsid w:val="00444F56"/>
    <w:rsid w:val="00446488"/>
    <w:rsid w:val="004517AA"/>
    <w:rsid w:val="00452CAC"/>
    <w:rsid w:val="00457565"/>
    <w:rsid w:val="00457B71"/>
    <w:rsid w:val="004608A3"/>
    <w:rsid w:val="00461730"/>
    <w:rsid w:val="00464689"/>
    <w:rsid w:val="004669E2"/>
    <w:rsid w:val="00470C31"/>
    <w:rsid w:val="00471DE0"/>
    <w:rsid w:val="004734D0"/>
    <w:rsid w:val="0047556B"/>
    <w:rsid w:val="00477768"/>
    <w:rsid w:val="00492BC5"/>
    <w:rsid w:val="00493F87"/>
    <w:rsid w:val="004964F1"/>
    <w:rsid w:val="004A16BC"/>
    <w:rsid w:val="004A2B94"/>
    <w:rsid w:val="004B34BF"/>
    <w:rsid w:val="004B3C41"/>
    <w:rsid w:val="004B6F6A"/>
    <w:rsid w:val="004B7C0C"/>
    <w:rsid w:val="004C3898"/>
    <w:rsid w:val="004D36B1"/>
    <w:rsid w:val="004D7EBD"/>
    <w:rsid w:val="004E2680"/>
    <w:rsid w:val="004E28F9"/>
    <w:rsid w:val="004E2D05"/>
    <w:rsid w:val="004E462E"/>
    <w:rsid w:val="004E56DC"/>
    <w:rsid w:val="004E76F4"/>
    <w:rsid w:val="004F0B4E"/>
    <w:rsid w:val="004F0B6C"/>
    <w:rsid w:val="004F2078"/>
    <w:rsid w:val="004F4DA3"/>
    <w:rsid w:val="00506557"/>
    <w:rsid w:val="0050677A"/>
    <w:rsid w:val="00507892"/>
    <w:rsid w:val="005108D8"/>
    <w:rsid w:val="005116F9"/>
    <w:rsid w:val="00514E5F"/>
    <w:rsid w:val="005153A7"/>
    <w:rsid w:val="00516CA6"/>
    <w:rsid w:val="005219CF"/>
    <w:rsid w:val="00527227"/>
    <w:rsid w:val="00534B59"/>
    <w:rsid w:val="00536759"/>
    <w:rsid w:val="00537C62"/>
    <w:rsid w:val="00540A82"/>
    <w:rsid w:val="0054169C"/>
    <w:rsid w:val="00542712"/>
    <w:rsid w:val="005440B0"/>
    <w:rsid w:val="00546970"/>
    <w:rsid w:val="00554E19"/>
    <w:rsid w:val="0056121F"/>
    <w:rsid w:val="00567235"/>
    <w:rsid w:val="00571C19"/>
    <w:rsid w:val="00572505"/>
    <w:rsid w:val="005750CC"/>
    <w:rsid w:val="00582809"/>
    <w:rsid w:val="0058798C"/>
    <w:rsid w:val="005900FA"/>
    <w:rsid w:val="005935A4"/>
    <w:rsid w:val="00593DD3"/>
    <w:rsid w:val="005948C2"/>
    <w:rsid w:val="00595DCA"/>
    <w:rsid w:val="0059779B"/>
    <w:rsid w:val="005A1AEF"/>
    <w:rsid w:val="005A209A"/>
    <w:rsid w:val="005A662D"/>
    <w:rsid w:val="005B1409"/>
    <w:rsid w:val="005B35D7"/>
    <w:rsid w:val="005B392A"/>
    <w:rsid w:val="005B3AA3"/>
    <w:rsid w:val="005B6F83"/>
    <w:rsid w:val="005B7CA6"/>
    <w:rsid w:val="005C74FB"/>
    <w:rsid w:val="005D1602"/>
    <w:rsid w:val="005E038E"/>
    <w:rsid w:val="005E385F"/>
    <w:rsid w:val="005E5B81"/>
    <w:rsid w:val="005E7E88"/>
    <w:rsid w:val="005F1F20"/>
    <w:rsid w:val="005F2CB1"/>
    <w:rsid w:val="005F3025"/>
    <w:rsid w:val="005F618C"/>
    <w:rsid w:val="005F70BD"/>
    <w:rsid w:val="00600D50"/>
    <w:rsid w:val="0060283C"/>
    <w:rsid w:val="00604F14"/>
    <w:rsid w:val="00611B83"/>
    <w:rsid w:val="00613257"/>
    <w:rsid w:val="00620A71"/>
    <w:rsid w:val="00620D80"/>
    <w:rsid w:val="006234A6"/>
    <w:rsid w:val="00630001"/>
    <w:rsid w:val="006311B3"/>
    <w:rsid w:val="0063284C"/>
    <w:rsid w:val="00633326"/>
    <w:rsid w:val="00636398"/>
    <w:rsid w:val="006368D3"/>
    <w:rsid w:val="006377EC"/>
    <w:rsid w:val="0064151F"/>
    <w:rsid w:val="00641533"/>
    <w:rsid w:val="0064208D"/>
    <w:rsid w:val="00643475"/>
    <w:rsid w:val="0064396A"/>
    <w:rsid w:val="0064624E"/>
    <w:rsid w:val="00650AB9"/>
    <w:rsid w:val="00650C50"/>
    <w:rsid w:val="00655733"/>
    <w:rsid w:val="00655ACD"/>
    <w:rsid w:val="00656A92"/>
    <w:rsid w:val="00656DDE"/>
    <w:rsid w:val="0066011D"/>
    <w:rsid w:val="006607C0"/>
    <w:rsid w:val="006613A6"/>
    <w:rsid w:val="00661F45"/>
    <w:rsid w:val="006627A2"/>
    <w:rsid w:val="006634E6"/>
    <w:rsid w:val="00663ECD"/>
    <w:rsid w:val="006655EE"/>
    <w:rsid w:val="00667EE7"/>
    <w:rsid w:val="00670922"/>
    <w:rsid w:val="00670BE1"/>
    <w:rsid w:val="0067218F"/>
    <w:rsid w:val="006741F2"/>
    <w:rsid w:val="00674CC3"/>
    <w:rsid w:val="00675C72"/>
    <w:rsid w:val="006771F9"/>
    <w:rsid w:val="006776D7"/>
    <w:rsid w:val="00681003"/>
    <w:rsid w:val="006817C9"/>
    <w:rsid w:val="00683ECE"/>
    <w:rsid w:val="006938EA"/>
    <w:rsid w:val="00695FC2"/>
    <w:rsid w:val="00696949"/>
    <w:rsid w:val="00697052"/>
    <w:rsid w:val="006A2CEC"/>
    <w:rsid w:val="006A46FB"/>
    <w:rsid w:val="006A5E28"/>
    <w:rsid w:val="006A697B"/>
    <w:rsid w:val="006A7AFF"/>
    <w:rsid w:val="006B1816"/>
    <w:rsid w:val="006B2099"/>
    <w:rsid w:val="006B50CF"/>
    <w:rsid w:val="006C03B8"/>
    <w:rsid w:val="006C5EC9"/>
    <w:rsid w:val="006C6059"/>
    <w:rsid w:val="006C7522"/>
    <w:rsid w:val="006D1D25"/>
    <w:rsid w:val="006D3E5B"/>
    <w:rsid w:val="006D5D5F"/>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11A"/>
    <w:rsid w:val="0070346E"/>
    <w:rsid w:val="00704EDB"/>
    <w:rsid w:val="00705B22"/>
    <w:rsid w:val="00706101"/>
    <w:rsid w:val="00707072"/>
    <w:rsid w:val="00707D61"/>
    <w:rsid w:val="00712287"/>
    <w:rsid w:val="00712772"/>
    <w:rsid w:val="007148D3"/>
    <w:rsid w:val="00715B9A"/>
    <w:rsid w:val="00722F41"/>
    <w:rsid w:val="007257D0"/>
    <w:rsid w:val="00726EA6"/>
    <w:rsid w:val="00727208"/>
    <w:rsid w:val="00727680"/>
    <w:rsid w:val="007348B1"/>
    <w:rsid w:val="007362A6"/>
    <w:rsid w:val="00736D7D"/>
    <w:rsid w:val="00737049"/>
    <w:rsid w:val="00740E58"/>
    <w:rsid w:val="007445A0"/>
    <w:rsid w:val="0074524B"/>
    <w:rsid w:val="00747D8B"/>
    <w:rsid w:val="00751228"/>
    <w:rsid w:val="007571E1"/>
    <w:rsid w:val="00760094"/>
    <w:rsid w:val="007604B2"/>
    <w:rsid w:val="00761445"/>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414"/>
    <w:rsid w:val="007B1220"/>
    <w:rsid w:val="007B3D2D"/>
    <w:rsid w:val="007B50AE"/>
    <w:rsid w:val="007B51DF"/>
    <w:rsid w:val="007C05DD"/>
    <w:rsid w:val="007C3D18"/>
    <w:rsid w:val="007C60BF"/>
    <w:rsid w:val="007C6A07"/>
    <w:rsid w:val="007C75A1"/>
    <w:rsid w:val="007C77A5"/>
    <w:rsid w:val="007D04E5"/>
    <w:rsid w:val="007D3CFD"/>
    <w:rsid w:val="007D4132"/>
    <w:rsid w:val="007D5901"/>
    <w:rsid w:val="007D5F31"/>
    <w:rsid w:val="007D7526"/>
    <w:rsid w:val="007E4610"/>
    <w:rsid w:val="007E4621"/>
    <w:rsid w:val="007E4715"/>
    <w:rsid w:val="007E505B"/>
    <w:rsid w:val="007E7091"/>
    <w:rsid w:val="007E7EA8"/>
    <w:rsid w:val="007F44CA"/>
    <w:rsid w:val="00803FAE"/>
    <w:rsid w:val="0080605F"/>
    <w:rsid w:val="00807786"/>
    <w:rsid w:val="00807E1D"/>
    <w:rsid w:val="00811FCB"/>
    <w:rsid w:val="008158D6"/>
    <w:rsid w:val="00817196"/>
    <w:rsid w:val="008235DB"/>
    <w:rsid w:val="00824AB4"/>
    <w:rsid w:val="00824B06"/>
    <w:rsid w:val="00825C42"/>
    <w:rsid w:val="00825D25"/>
    <w:rsid w:val="00827411"/>
    <w:rsid w:val="00827449"/>
    <w:rsid w:val="00827D6F"/>
    <w:rsid w:val="0083601F"/>
    <w:rsid w:val="008376AC"/>
    <w:rsid w:val="008444E8"/>
    <w:rsid w:val="00844E80"/>
    <w:rsid w:val="00846950"/>
    <w:rsid w:val="00846FE7"/>
    <w:rsid w:val="0085445E"/>
    <w:rsid w:val="00856911"/>
    <w:rsid w:val="008677FD"/>
    <w:rsid w:val="00870400"/>
    <w:rsid w:val="008706D4"/>
    <w:rsid w:val="00870F8A"/>
    <w:rsid w:val="008719A4"/>
    <w:rsid w:val="00871D23"/>
    <w:rsid w:val="00871E2F"/>
    <w:rsid w:val="00874255"/>
    <w:rsid w:val="00874312"/>
    <w:rsid w:val="0087437C"/>
    <w:rsid w:val="00875CD7"/>
    <w:rsid w:val="00876448"/>
    <w:rsid w:val="00876B4D"/>
    <w:rsid w:val="00877F18"/>
    <w:rsid w:val="008941E3"/>
    <w:rsid w:val="00894A88"/>
    <w:rsid w:val="00894C4D"/>
    <w:rsid w:val="00895386"/>
    <w:rsid w:val="00897C0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7DF"/>
    <w:rsid w:val="008E1909"/>
    <w:rsid w:val="008F1C4E"/>
    <w:rsid w:val="008F1EAB"/>
    <w:rsid w:val="008F33DC"/>
    <w:rsid w:val="008F477F"/>
    <w:rsid w:val="00902350"/>
    <w:rsid w:val="009027D4"/>
    <w:rsid w:val="0090336B"/>
    <w:rsid w:val="00903CB4"/>
    <w:rsid w:val="009053AA"/>
    <w:rsid w:val="00906939"/>
    <w:rsid w:val="00910B7D"/>
    <w:rsid w:val="00911DFB"/>
    <w:rsid w:val="009139D9"/>
    <w:rsid w:val="00914AD8"/>
    <w:rsid w:val="00915B07"/>
    <w:rsid w:val="00916079"/>
    <w:rsid w:val="00917CE9"/>
    <w:rsid w:val="00920BF2"/>
    <w:rsid w:val="00922010"/>
    <w:rsid w:val="0092390E"/>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28D"/>
    <w:rsid w:val="00971F08"/>
    <w:rsid w:val="0097603D"/>
    <w:rsid w:val="00976949"/>
    <w:rsid w:val="00980477"/>
    <w:rsid w:val="00985253"/>
    <w:rsid w:val="009853B3"/>
    <w:rsid w:val="00985B1C"/>
    <w:rsid w:val="00990630"/>
    <w:rsid w:val="00991761"/>
    <w:rsid w:val="00994DCA"/>
    <w:rsid w:val="009960EC"/>
    <w:rsid w:val="009970DD"/>
    <w:rsid w:val="009A0FBA"/>
    <w:rsid w:val="009A1601"/>
    <w:rsid w:val="009A3BB6"/>
    <w:rsid w:val="009A462D"/>
    <w:rsid w:val="009A479A"/>
    <w:rsid w:val="009A5CBA"/>
    <w:rsid w:val="009A5EFC"/>
    <w:rsid w:val="009B02A0"/>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1E9"/>
    <w:rsid w:val="009F344F"/>
    <w:rsid w:val="009F3F0A"/>
    <w:rsid w:val="00A012A2"/>
    <w:rsid w:val="00A031D8"/>
    <w:rsid w:val="00A048A8"/>
    <w:rsid w:val="00A04F49"/>
    <w:rsid w:val="00A13E54"/>
    <w:rsid w:val="00A17F63"/>
    <w:rsid w:val="00A2193B"/>
    <w:rsid w:val="00A2351A"/>
    <w:rsid w:val="00A264A9"/>
    <w:rsid w:val="00A26DCF"/>
    <w:rsid w:val="00A27785"/>
    <w:rsid w:val="00A27C3E"/>
    <w:rsid w:val="00A30187"/>
    <w:rsid w:val="00A3448A"/>
    <w:rsid w:val="00A36297"/>
    <w:rsid w:val="00A41E2B"/>
    <w:rsid w:val="00A4421F"/>
    <w:rsid w:val="00A45B74"/>
    <w:rsid w:val="00A52E1D"/>
    <w:rsid w:val="00A556E7"/>
    <w:rsid w:val="00A61499"/>
    <w:rsid w:val="00A62A77"/>
    <w:rsid w:val="00A63483"/>
    <w:rsid w:val="00A657D7"/>
    <w:rsid w:val="00A660AC"/>
    <w:rsid w:val="00A67E6C"/>
    <w:rsid w:val="00A71B99"/>
    <w:rsid w:val="00A739D0"/>
    <w:rsid w:val="00A75C77"/>
    <w:rsid w:val="00A761D4"/>
    <w:rsid w:val="00A77EC4"/>
    <w:rsid w:val="00A822DE"/>
    <w:rsid w:val="00A83388"/>
    <w:rsid w:val="00A83F7F"/>
    <w:rsid w:val="00A92264"/>
    <w:rsid w:val="00A92879"/>
    <w:rsid w:val="00A9442A"/>
    <w:rsid w:val="00A94A0D"/>
    <w:rsid w:val="00AA016F"/>
    <w:rsid w:val="00AA1ED6"/>
    <w:rsid w:val="00AA4E2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043"/>
    <w:rsid w:val="00AD4A5A"/>
    <w:rsid w:val="00AE27AC"/>
    <w:rsid w:val="00AE2EDA"/>
    <w:rsid w:val="00AE40E0"/>
    <w:rsid w:val="00AE4DBA"/>
    <w:rsid w:val="00AE4F07"/>
    <w:rsid w:val="00AE7821"/>
    <w:rsid w:val="00AF1C5D"/>
    <w:rsid w:val="00AF42D7"/>
    <w:rsid w:val="00B006FE"/>
    <w:rsid w:val="00B007CB"/>
    <w:rsid w:val="00B02AA9"/>
    <w:rsid w:val="00B02FA3"/>
    <w:rsid w:val="00B05084"/>
    <w:rsid w:val="00B07D36"/>
    <w:rsid w:val="00B13218"/>
    <w:rsid w:val="00B157F9"/>
    <w:rsid w:val="00B20256"/>
    <w:rsid w:val="00B20D09"/>
    <w:rsid w:val="00B2763F"/>
    <w:rsid w:val="00B27AAC"/>
    <w:rsid w:val="00B30929"/>
    <w:rsid w:val="00B372AA"/>
    <w:rsid w:val="00B37A13"/>
    <w:rsid w:val="00B40445"/>
    <w:rsid w:val="00B409E0"/>
    <w:rsid w:val="00B41888"/>
    <w:rsid w:val="00B45A52"/>
    <w:rsid w:val="00B46175"/>
    <w:rsid w:val="00B548B7"/>
    <w:rsid w:val="00B65999"/>
    <w:rsid w:val="00B664C7"/>
    <w:rsid w:val="00B739F6"/>
    <w:rsid w:val="00B73FE9"/>
    <w:rsid w:val="00B81A6C"/>
    <w:rsid w:val="00B823C8"/>
    <w:rsid w:val="00B85DE5"/>
    <w:rsid w:val="00B90F73"/>
    <w:rsid w:val="00B93B59"/>
    <w:rsid w:val="00B9406A"/>
    <w:rsid w:val="00BA2280"/>
    <w:rsid w:val="00BA2866"/>
    <w:rsid w:val="00BA2A08"/>
    <w:rsid w:val="00BA56D2"/>
    <w:rsid w:val="00BA5F7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580F"/>
    <w:rsid w:val="00C07377"/>
    <w:rsid w:val="00C10478"/>
    <w:rsid w:val="00C12107"/>
    <w:rsid w:val="00C14D4B"/>
    <w:rsid w:val="00C154BB"/>
    <w:rsid w:val="00C165FF"/>
    <w:rsid w:val="00C20CA2"/>
    <w:rsid w:val="00C2461F"/>
    <w:rsid w:val="00C27591"/>
    <w:rsid w:val="00C279B5"/>
    <w:rsid w:val="00C27C45"/>
    <w:rsid w:val="00C3719D"/>
    <w:rsid w:val="00C37CB2"/>
    <w:rsid w:val="00C473A5"/>
    <w:rsid w:val="00C5041F"/>
    <w:rsid w:val="00C54995"/>
    <w:rsid w:val="00C54D41"/>
    <w:rsid w:val="00C60783"/>
    <w:rsid w:val="00C64672"/>
    <w:rsid w:val="00C70697"/>
    <w:rsid w:val="00C72093"/>
    <w:rsid w:val="00C72EF4"/>
    <w:rsid w:val="00C744FE"/>
    <w:rsid w:val="00C75D2F"/>
    <w:rsid w:val="00C767BE"/>
    <w:rsid w:val="00C76E3C"/>
    <w:rsid w:val="00C77D23"/>
    <w:rsid w:val="00C81568"/>
    <w:rsid w:val="00C823B1"/>
    <w:rsid w:val="00C9027A"/>
    <w:rsid w:val="00C9068E"/>
    <w:rsid w:val="00C93814"/>
    <w:rsid w:val="00C93C4B"/>
    <w:rsid w:val="00C944AB"/>
    <w:rsid w:val="00C95B40"/>
    <w:rsid w:val="00C9770B"/>
    <w:rsid w:val="00CA1ED8"/>
    <w:rsid w:val="00CB1F63"/>
    <w:rsid w:val="00CB7170"/>
    <w:rsid w:val="00CC040E"/>
    <w:rsid w:val="00CC111F"/>
    <w:rsid w:val="00CC2011"/>
    <w:rsid w:val="00CC3EA0"/>
    <w:rsid w:val="00CC7B45"/>
    <w:rsid w:val="00CD1181"/>
    <w:rsid w:val="00CD1188"/>
    <w:rsid w:val="00CD2ED1"/>
    <w:rsid w:val="00CD337B"/>
    <w:rsid w:val="00CE0424"/>
    <w:rsid w:val="00CE1B6D"/>
    <w:rsid w:val="00CE6E37"/>
    <w:rsid w:val="00CE7561"/>
    <w:rsid w:val="00CF1354"/>
    <w:rsid w:val="00CF3B1F"/>
    <w:rsid w:val="00CF3BF6"/>
    <w:rsid w:val="00CF625B"/>
    <w:rsid w:val="00CF687E"/>
    <w:rsid w:val="00D0349B"/>
    <w:rsid w:val="00D07D0F"/>
    <w:rsid w:val="00D10249"/>
    <w:rsid w:val="00D115C3"/>
    <w:rsid w:val="00D11897"/>
    <w:rsid w:val="00D13135"/>
    <w:rsid w:val="00D13E4E"/>
    <w:rsid w:val="00D145E5"/>
    <w:rsid w:val="00D2041F"/>
    <w:rsid w:val="00D239A7"/>
    <w:rsid w:val="00D23F47"/>
    <w:rsid w:val="00D36E71"/>
    <w:rsid w:val="00D37D87"/>
    <w:rsid w:val="00D40B33"/>
    <w:rsid w:val="00D4318F"/>
    <w:rsid w:val="00D438BF"/>
    <w:rsid w:val="00D440F8"/>
    <w:rsid w:val="00D501A7"/>
    <w:rsid w:val="00D546FF"/>
    <w:rsid w:val="00D55AD5"/>
    <w:rsid w:val="00D57479"/>
    <w:rsid w:val="00D576CA"/>
    <w:rsid w:val="00D61AF5"/>
    <w:rsid w:val="00D6446C"/>
    <w:rsid w:val="00D647B3"/>
    <w:rsid w:val="00D652B5"/>
    <w:rsid w:val="00D66155"/>
    <w:rsid w:val="00D708B0"/>
    <w:rsid w:val="00D77B1D"/>
    <w:rsid w:val="00D8021F"/>
    <w:rsid w:val="00D80383"/>
    <w:rsid w:val="00D80B84"/>
    <w:rsid w:val="00D823C6"/>
    <w:rsid w:val="00D8327F"/>
    <w:rsid w:val="00D8633F"/>
    <w:rsid w:val="00D86CA3"/>
    <w:rsid w:val="00D871CE"/>
    <w:rsid w:val="00D9196D"/>
    <w:rsid w:val="00D92982"/>
    <w:rsid w:val="00DA0C32"/>
    <w:rsid w:val="00DA305E"/>
    <w:rsid w:val="00DA5417"/>
    <w:rsid w:val="00DA56E8"/>
    <w:rsid w:val="00DB070A"/>
    <w:rsid w:val="00DB0A9F"/>
    <w:rsid w:val="00DB377D"/>
    <w:rsid w:val="00DB542D"/>
    <w:rsid w:val="00DC2D36"/>
    <w:rsid w:val="00DC53EF"/>
    <w:rsid w:val="00DD071E"/>
    <w:rsid w:val="00DD65E2"/>
    <w:rsid w:val="00DE21EC"/>
    <w:rsid w:val="00DE50B6"/>
    <w:rsid w:val="00DE5608"/>
    <w:rsid w:val="00DE58D0"/>
    <w:rsid w:val="00DE654F"/>
    <w:rsid w:val="00DF0B6E"/>
    <w:rsid w:val="00DF15E0"/>
    <w:rsid w:val="00DF37A0"/>
    <w:rsid w:val="00E04D70"/>
    <w:rsid w:val="00E1038A"/>
    <w:rsid w:val="00E110E7"/>
    <w:rsid w:val="00E11B20"/>
    <w:rsid w:val="00E140D3"/>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157"/>
    <w:rsid w:val="00E612F1"/>
    <w:rsid w:val="00E63838"/>
    <w:rsid w:val="00E64434"/>
    <w:rsid w:val="00E67C51"/>
    <w:rsid w:val="00E72EFC"/>
    <w:rsid w:val="00E758EC"/>
    <w:rsid w:val="00E80663"/>
    <w:rsid w:val="00E8234C"/>
    <w:rsid w:val="00E83AA9"/>
    <w:rsid w:val="00E85928"/>
    <w:rsid w:val="00E87822"/>
    <w:rsid w:val="00E90395"/>
    <w:rsid w:val="00E90E49"/>
    <w:rsid w:val="00E917F9"/>
    <w:rsid w:val="00E9291C"/>
    <w:rsid w:val="00E93FFE"/>
    <w:rsid w:val="00E94F8A"/>
    <w:rsid w:val="00EA2001"/>
    <w:rsid w:val="00EA7A41"/>
    <w:rsid w:val="00EB077B"/>
    <w:rsid w:val="00EB29CD"/>
    <w:rsid w:val="00EB4EA2"/>
    <w:rsid w:val="00EB5CFB"/>
    <w:rsid w:val="00EC24D5"/>
    <w:rsid w:val="00EC27C6"/>
    <w:rsid w:val="00EC4207"/>
    <w:rsid w:val="00EC52AD"/>
    <w:rsid w:val="00EC557E"/>
    <w:rsid w:val="00EC5653"/>
    <w:rsid w:val="00EC57D7"/>
    <w:rsid w:val="00EC71CE"/>
    <w:rsid w:val="00ED1006"/>
    <w:rsid w:val="00ED10D8"/>
    <w:rsid w:val="00ED3BFA"/>
    <w:rsid w:val="00ED551E"/>
    <w:rsid w:val="00ED7A45"/>
    <w:rsid w:val="00EE03D1"/>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226"/>
    <w:rsid w:val="00F35BA8"/>
    <w:rsid w:val="00F3794F"/>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233"/>
    <w:rsid w:val="00F71AA5"/>
    <w:rsid w:val="00F71F69"/>
    <w:rsid w:val="00F72B72"/>
    <w:rsid w:val="00F74BB9"/>
    <w:rsid w:val="00F75582"/>
    <w:rsid w:val="00F76EFA"/>
    <w:rsid w:val="00F80430"/>
    <w:rsid w:val="00F804B2"/>
    <w:rsid w:val="00F804BE"/>
    <w:rsid w:val="00F8114B"/>
    <w:rsid w:val="00F817CE"/>
    <w:rsid w:val="00F8456C"/>
    <w:rsid w:val="00F859D8"/>
    <w:rsid w:val="00F868F5"/>
    <w:rsid w:val="00F9056A"/>
    <w:rsid w:val="00F90F8D"/>
    <w:rsid w:val="00F92782"/>
    <w:rsid w:val="00F93AA9"/>
    <w:rsid w:val="00F96985"/>
    <w:rsid w:val="00F97838"/>
    <w:rsid w:val="00FA2BB3"/>
    <w:rsid w:val="00FB1CBE"/>
    <w:rsid w:val="00FB4C80"/>
    <w:rsid w:val="00FB6A6A"/>
    <w:rsid w:val="00FC44F2"/>
    <w:rsid w:val="00FC7429"/>
    <w:rsid w:val="00FD07F6"/>
    <w:rsid w:val="00FD1EC8"/>
    <w:rsid w:val="00FD47ED"/>
    <w:rsid w:val="00FD74DB"/>
    <w:rsid w:val="00FD7660"/>
    <w:rsid w:val="00FE0655"/>
    <w:rsid w:val="00FE2365"/>
    <w:rsid w:val="00FE37D7"/>
    <w:rsid w:val="00FE4C7B"/>
    <w:rsid w:val="00FE7336"/>
    <w:rsid w:val="00FE787C"/>
    <w:rsid w:val="00FF0FBF"/>
    <w:rsid w:val="00FF3479"/>
    <w:rsid w:val="00FF45A5"/>
    <w:rsid w:val="00FF50B8"/>
    <w:rsid w:val="00FF5C91"/>
    <w:rsid w:val="0480FAD8"/>
    <w:rsid w:val="08DB4026"/>
    <w:rsid w:val="22A69E62"/>
    <w:rsid w:val="26045188"/>
    <w:rsid w:val="2A4CA54B"/>
    <w:rsid w:val="2E5ADEB8"/>
    <w:rsid w:val="2EB1B4A9"/>
    <w:rsid w:val="344482F7"/>
    <w:rsid w:val="3A64695F"/>
    <w:rsid w:val="4A1DA8FF"/>
    <w:rsid w:val="61A362C1"/>
    <w:rsid w:val="7161E436"/>
    <w:rsid w:val="797A1C73"/>
    <w:rsid w:val="7EE085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F347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F34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347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283FE1"/>
    <w:pPr>
      <w:numPr>
        <w:numId w:val="3"/>
      </w:numPr>
      <w:tabs>
        <w:tab w:val="clear" w:pos="1304"/>
        <w:tab w:val="left" w:pos="1584"/>
        <w:tab w:val="left" w:pos="1701"/>
      </w:tabs>
      <w:ind w:left="1584" w:hanging="158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0145FB"/>
    <w:rPr>
      <w:color w:val="808080"/>
    </w:rPr>
  </w:style>
  <w:style w:type="paragraph" w:customStyle="1" w:styleId="Normal1CharChar">
    <w:name w:val="Normal1 Char Char"/>
    <w:uiPriority w:val="99"/>
    <w:qFormat/>
    <w:rsid w:val="00AE7821"/>
    <w:pPr>
      <w:keepNext/>
      <w:numPr>
        <w:numId w:val="31"/>
      </w:numPr>
      <w:kinsoku w:val="0"/>
      <w:overflowPunct w:val="0"/>
      <w:autoSpaceDE w:val="0"/>
      <w:autoSpaceDN w:val="0"/>
      <w:adjustRightInd w:val="0"/>
      <w:spacing w:before="60" w:after="60"/>
      <w:jc w:val="both"/>
    </w:pPr>
    <w:rPr>
      <w:rFonts w:ascii="Times New Roman" w:hAnsi="Times New Roman"/>
      <w:kern w:val="2"/>
      <w:sz w:val="21"/>
      <w:lang w:eastAsia="ja-JP"/>
    </w:rPr>
  </w:style>
  <w:style w:type="character" w:styleId="UnresolvedMention">
    <w:name w:val="Unresolved Mention"/>
    <w:basedOn w:val="DefaultParagraphFont"/>
    <w:uiPriority w:val="99"/>
    <w:unhideWhenUsed/>
    <w:rsid w:val="004018CA"/>
    <w:rPr>
      <w:color w:val="605E5C"/>
      <w:shd w:val="clear" w:color="auto" w:fill="E1DFDD"/>
    </w:rPr>
  </w:style>
  <w:style w:type="character" w:styleId="Mention">
    <w:name w:val="Mention"/>
    <w:basedOn w:val="DefaultParagraphFont"/>
    <w:uiPriority w:val="99"/>
    <w:unhideWhenUsed/>
    <w:rsid w:val="004018CA"/>
    <w:rPr>
      <w:color w:val="2B579A"/>
      <w:shd w:val="clear" w:color="auto" w:fill="E1DFDD"/>
    </w:rPr>
  </w:style>
  <w:style w:type="paragraph" w:styleId="Revision">
    <w:name w:val="Revision"/>
    <w:hidden/>
    <w:uiPriority w:val="99"/>
    <w:semiHidden/>
    <w:rsid w:val="00CD1181"/>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799567">
      <w:bodyDiv w:val="1"/>
      <w:marLeft w:val="0"/>
      <w:marRight w:val="0"/>
      <w:marTop w:val="0"/>
      <w:marBottom w:val="0"/>
      <w:divBdr>
        <w:top w:val="none" w:sz="0" w:space="0" w:color="auto"/>
        <w:left w:val="none" w:sz="0" w:space="0" w:color="auto"/>
        <w:bottom w:val="none" w:sz="0" w:space="0" w:color="auto"/>
        <w:right w:val="none" w:sz="0" w:space="0" w:color="auto"/>
      </w:divBdr>
    </w:div>
    <w:div w:id="1314605650">
      <w:bodyDiv w:val="1"/>
      <w:marLeft w:val="0"/>
      <w:marRight w:val="0"/>
      <w:marTop w:val="0"/>
      <w:marBottom w:val="0"/>
      <w:divBdr>
        <w:top w:val="none" w:sz="0" w:space="0" w:color="auto"/>
        <w:left w:val="none" w:sz="0" w:space="0" w:color="auto"/>
        <w:bottom w:val="none" w:sz="0" w:space="0" w:color="auto"/>
        <w:right w:val="none" w:sz="0" w:space="0" w:color="auto"/>
      </w:divBdr>
      <w:divsChild>
        <w:div w:id="704788716">
          <w:marLeft w:val="0"/>
          <w:marRight w:val="0"/>
          <w:marTop w:val="0"/>
          <w:marBottom w:val="0"/>
          <w:divBdr>
            <w:top w:val="none" w:sz="0" w:space="0" w:color="auto"/>
            <w:left w:val="none" w:sz="0" w:space="0" w:color="auto"/>
            <w:bottom w:val="none" w:sz="0" w:space="0" w:color="auto"/>
            <w:right w:val="none" w:sz="0" w:space="0" w:color="auto"/>
          </w:divBdr>
          <w:divsChild>
            <w:div w:id="165025878">
              <w:marLeft w:val="0"/>
              <w:marRight w:val="0"/>
              <w:marTop w:val="0"/>
              <w:marBottom w:val="0"/>
              <w:divBdr>
                <w:top w:val="none" w:sz="0" w:space="0" w:color="auto"/>
                <w:left w:val="none" w:sz="0" w:space="0" w:color="auto"/>
                <w:bottom w:val="none" w:sz="0" w:space="0" w:color="auto"/>
                <w:right w:val="none" w:sz="0" w:space="0" w:color="auto"/>
              </w:divBdr>
              <w:divsChild>
                <w:div w:id="1322538507">
                  <w:marLeft w:val="0"/>
                  <w:marRight w:val="0"/>
                  <w:marTop w:val="0"/>
                  <w:marBottom w:val="0"/>
                  <w:divBdr>
                    <w:top w:val="none" w:sz="0" w:space="0" w:color="auto"/>
                    <w:left w:val="none" w:sz="0" w:space="0" w:color="auto"/>
                    <w:bottom w:val="none" w:sz="0" w:space="0" w:color="auto"/>
                    <w:right w:val="none" w:sz="0" w:space="0" w:color="auto"/>
                  </w:divBdr>
                  <w:divsChild>
                    <w:div w:id="556359986">
                      <w:marLeft w:val="0"/>
                      <w:marRight w:val="0"/>
                      <w:marTop w:val="0"/>
                      <w:marBottom w:val="0"/>
                      <w:divBdr>
                        <w:top w:val="none" w:sz="0" w:space="0" w:color="auto"/>
                        <w:left w:val="none" w:sz="0" w:space="0" w:color="auto"/>
                        <w:bottom w:val="none" w:sz="0" w:space="0" w:color="auto"/>
                        <w:right w:val="none" w:sz="0" w:space="0" w:color="auto"/>
                      </w:divBdr>
                      <w:divsChild>
                        <w:div w:id="2028944746">
                          <w:marLeft w:val="0"/>
                          <w:marRight w:val="0"/>
                          <w:marTop w:val="0"/>
                          <w:marBottom w:val="0"/>
                          <w:divBdr>
                            <w:top w:val="none" w:sz="0" w:space="0" w:color="auto"/>
                            <w:left w:val="none" w:sz="0" w:space="0" w:color="auto"/>
                            <w:bottom w:val="none" w:sz="0" w:space="0" w:color="auto"/>
                            <w:right w:val="none" w:sz="0" w:space="0" w:color="auto"/>
                          </w:divBdr>
                          <w:divsChild>
                            <w:div w:id="56520188">
                              <w:marLeft w:val="0"/>
                              <w:marRight w:val="0"/>
                              <w:marTop w:val="0"/>
                              <w:marBottom w:val="0"/>
                              <w:divBdr>
                                <w:top w:val="none" w:sz="0" w:space="0" w:color="auto"/>
                                <w:left w:val="none" w:sz="0" w:space="0" w:color="auto"/>
                                <w:bottom w:val="none" w:sz="0" w:space="0" w:color="auto"/>
                                <w:right w:val="none" w:sz="0" w:space="0" w:color="auto"/>
                              </w:divBdr>
                              <w:divsChild>
                                <w:div w:id="1539927101">
                                  <w:marLeft w:val="0"/>
                                  <w:marRight w:val="0"/>
                                  <w:marTop w:val="0"/>
                                  <w:marBottom w:val="0"/>
                                  <w:divBdr>
                                    <w:top w:val="none" w:sz="0" w:space="0" w:color="auto"/>
                                    <w:left w:val="none" w:sz="0" w:space="0" w:color="auto"/>
                                    <w:bottom w:val="none" w:sz="0" w:space="0" w:color="auto"/>
                                    <w:right w:val="none" w:sz="0" w:space="0" w:color="auto"/>
                                  </w:divBdr>
                                  <w:divsChild>
                                    <w:div w:id="993988208">
                                      <w:marLeft w:val="0"/>
                                      <w:marRight w:val="0"/>
                                      <w:marTop w:val="0"/>
                                      <w:marBottom w:val="0"/>
                                      <w:divBdr>
                                        <w:top w:val="none" w:sz="0" w:space="0" w:color="auto"/>
                                        <w:left w:val="none" w:sz="0" w:space="0" w:color="auto"/>
                                        <w:bottom w:val="none" w:sz="0" w:space="0" w:color="auto"/>
                                        <w:right w:val="none" w:sz="0" w:space="0" w:color="auto"/>
                                      </w:divBdr>
                                      <w:divsChild>
                                        <w:div w:id="1941528304">
                                          <w:marLeft w:val="0"/>
                                          <w:marRight w:val="0"/>
                                          <w:marTop w:val="0"/>
                                          <w:marBottom w:val="0"/>
                                          <w:divBdr>
                                            <w:top w:val="none" w:sz="0" w:space="0" w:color="auto"/>
                                            <w:left w:val="none" w:sz="0" w:space="0" w:color="auto"/>
                                            <w:bottom w:val="none" w:sz="0" w:space="0" w:color="auto"/>
                                            <w:right w:val="none" w:sz="0" w:space="0" w:color="auto"/>
                                          </w:divBdr>
                                          <w:divsChild>
                                            <w:div w:id="1987859875">
                                              <w:marLeft w:val="0"/>
                                              <w:marRight w:val="0"/>
                                              <w:marTop w:val="0"/>
                                              <w:marBottom w:val="0"/>
                                              <w:divBdr>
                                                <w:top w:val="none" w:sz="0" w:space="0" w:color="auto"/>
                                                <w:left w:val="none" w:sz="0" w:space="0" w:color="auto"/>
                                                <w:bottom w:val="none" w:sz="0" w:space="0" w:color="auto"/>
                                                <w:right w:val="none" w:sz="0" w:space="0" w:color="auto"/>
                                              </w:divBdr>
                                              <w:divsChild>
                                                <w:div w:id="1016611467">
                                                  <w:marLeft w:val="0"/>
                                                  <w:marRight w:val="0"/>
                                                  <w:marTop w:val="0"/>
                                                  <w:marBottom w:val="0"/>
                                                  <w:divBdr>
                                                    <w:top w:val="none" w:sz="0" w:space="0" w:color="auto"/>
                                                    <w:left w:val="none" w:sz="0" w:space="0" w:color="auto"/>
                                                    <w:bottom w:val="none" w:sz="0" w:space="0" w:color="auto"/>
                                                    <w:right w:val="none" w:sz="0" w:space="0" w:color="auto"/>
                                                  </w:divBdr>
                                                  <w:divsChild>
                                                    <w:div w:id="78410858">
                                                      <w:marLeft w:val="0"/>
                                                      <w:marRight w:val="0"/>
                                                      <w:marTop w:val="0"/>
                                                      <w:marBottom w:val="0"/>
                                                      <w:divBdr>
                                                        <w:top w:val="single" w:sz="6" w:space="0" w:color="auto"/>
                                                        <w:left w:val="none" w:sz="0" w:space="0" w:color="auto"/>
                                                        <w:bottom w:val="single" w:sz="6" w:space="0" w:color="auto"/>
                                                        <w:right w:val="none" w:sz="0" w:space="0" w:color="auto"/>
                                                      </w:divBdr>
                                                      <w:divsChild>
                                                        <w:div w:id="326981128">
                                                          <w:marLeft w:val="0"/>
                                                          <w:marRight w:val="0"/>
                                                          <w:marTop w:val="0"/>
                                                          <w:marBottom w:val="0"/>
                                                          <w:divBdr>
                                                            <w:top w:val="none" w:sz="0" w:space="0" w:color="auto"/>
                                                            <w:left w:val="none" w:sz="0" w:space="0" w:color="auto"/>
                                                            <w:bottom w:val="none" w:sz="0" w:space="0" w:color="auto"/>
                                                            <w:right w:val="none" w:sz="0" w:space="0" w:color="auto"/>
                                                          </w:divBdr>
                                                          <w:divsChild>
                                                            <w:div w:id="350378291">
                                                              <w:marLeft w:val="0"/>
                                                              <w:marRight w:val="0"/>
                                                              <w:marTop w:val="0"/>
                                                              <w:marBottom w:val="0"/>
                                                              <w:divBdr>
                                                                <w:top w:val="none" w:sz="0" w:space="0" w:color="auto"/>
                                                                <w:left w:val="none" w:sz="0" w:space="0" w:color="auto"/>
                                                                <w:bottom w:val="none" w:sz="0" w:space="0" w:color="auto"/>
                                                                <w:right w:val="none" w:sz="0" w:space="0" w:color="auto"/>
                                                              </w:divBdr>
                                                              <w:divsChild>
                                                                <w:div w:id="406390328">
                                                                  <w:marLeft w:val="0"/>
                                                                  <w:marRight w:val="0"/>
                                                                  <w:marTop w:val="0"/>
                                                                  <w:marBottom w:val="0"/>
                                                                  <w:divBdr>
                                                                    <w:top w:val="none" w:sz="0" w:space="0" w:color="auto"/>
                                                                    <w:left w:val="none" w:sz="0" w:space="0" w:color="auto"/>
                                                                    <w:bottom w:val="none" w:sz="0" w:space="0" w:color="auto"/>
                                                                    <w:right w:val="none" w:sz="0" w:space="0" w:color="auto"/>
                                                                  </w:divBdr>
                                                                  <w:divsChild>
                                                                    <w:div w:id="1369259757">
                                                                      <w:marLeft w:val="0"/>
                                                                      <w:marRight w:val="0"/>
                                                                      <w:marTop w:val="0"/>
                                                                      <w:marBottom w:val="0"/>
                                                                      <w:divBdr>
                                                                        <w:top w:val="none" w:sz="0" w:space="0" w:color="auto"/>
                                                                        <w:left w:val="none" w:sz="0" w:space="0" w:color="auto"/>
                                                                        <w:bottom w:val="none" w:sz="0" w:space="0" w:color="auto"/>
                                                                        <w:right w:val="none" w:sz="0" w:space="0" w:color="auto"/>
                                                                      </w:divBdr>
                                                                      <w:divsChild>
                                                                        <w:div w:id="1759521650">
                                                                          <w:marLeft w:val="-75"/>
                                                                          <w:marRight w:val="0"/>
                                                                          <w:marTop w:val="30"/>
                                                                          <w:marBottom w:val="30"/>
                                                                          <w:divBdr>
                                                                            <w:top w:val="none" w:sz="0" w:space="0" w:color="auto"/>
                                                                            <w:left w:val="none" w:sz="0" w:space="0" w:color="auto"/>
                                                                            <w:bottom w:val="none" w:sz="0" w:space="0" w:color="auto"/>
                                                                            <w:right w:val="none" w:sz="0" w:space="0" w:color="auto"/>
                                                                          </w:divBdr>
                                                                          <w:divsChild>
                                                                            <w:div w:id="750271177">
                                                                              <w:marLeft w:val="0"/>
                                                                              <w:marRight w:val="0"/>
                                                                              <w:marTop w:val="0"/>
                                                                              <w:marBottom w:val="0"/>
                                                                              <w:divBdr>
                                                                                <w:top w:val="none" w:sz="0" w:space="0" w:color="auto"/>
                                                                                <w:left w:val="none" w:sz="0" w:space="0" w:color="auto"/>
                                                                                <w:bottom w:val="none" w:sz="0" w:space="0" w:color="auto"/>
                                                                                <w:right w:val="none" w:sz="0" w:space="0" w:color="auto"/>
                                                                              </w:divBdr>
                                                                              <w:divsChild>
                                                                                <w:div w:id="1304314689">
                                                                                  <w:marLeft w:val="0"/>
                                                                                  <w:marRight w:val="0"/>
                                                                                  <w:marTop w:val="0"/>
                                                                                  <w:marBottom w:val="0"/>
                                                                                  <w:divBdr>
                                                                                    <w:top w:val="none" w:sz="0" w:space="0" w:color="auto"/>
                                                                                    <w:left w:val="none" w:sz="0" w:space="0" w:color="auto"/>
                                                                                    <w:bottom w:val="none" w:sz="0" w:space="0" w:color="auto"/>
                                                                                    <w:right w:val="none" w:sz="0" w:space="0" w:color="auto"/>
                                                                                  </w:divBdr>
                                                                                  <w:divsChild>
                                                                                    <w:div w:id="502672826">
                                                                                      <w:marLeft w:val="0"/>
                                                                                      <w:marRight w:val="0"/>
                                                                                      <w:marTop w:val="0"/>
                                                                                      <w:marBottom w:val="0"/>
                                                                                      <w:divBdr>
                                                                                        <w:top w:val="none" w:sz="0" w:space="0" w:color="auto"/>
                                                                                        <w:left w:val="none" w:sz="0" w:space="0" w:color="auto"/>
                                                                                        <w:bottom w:val="none" w:sz="0" w:space="0" w:color="auto"/>
                                                                                        <w:right w:val="none" w:sz="0" w:space="0" w:color="auto"/>
                                                                                      </w:divBdr>
                                                                                      <w:divsChild>
                                                                                        <w:div w:id="906770683">
                                                                                          <w:marLeft w:val="0"/>
                                                                                          <w:marRight w:val="0"/>
                                                                                          <w:marTop w:val="0"/>
                                                                                          <w:marBottom w:val="0"/>
                                                                                          <w:divBdr>
                                                                                            <w:top w:val="none" w:sz="0" w:space="0" w:color="auto"/>
                                                                                            <w:left w:val="none" w:sz="0" w:space="0" w:color="auto"/>
                                                                                            <w:bottom w:val="none" w:sz="0" w:space="0" w:color="auto"/>
                                                                                            <w:right w:val="none" w:sz="0" w:space="0" w:color="auto"/>
                                                                                          </w:divBdr>
                                                                                          <w:divsChild>
                                                                                            <w:div w:id="750810922">
                                                                                              <w:marLeft w:val="0"/>
                                                                                              <w:marRight w:val="0"/>
                                                                                              <w:marTop w:val="0"/>
                                                                                              <w:marBottom w:val="0"/>
                                                                                              <w:divBdr>
                                                                                                <w:top w:val="none" w:sz="0" w:space="0" w:color="auto"/>
                                                                                                <w:left w:val="none" w:sz="0" w:space="0" w:color="auto"/>
                                                                                                <w:bottom w:val="none" w:sz="0" w:space="0" w:color="auto"/>
                                                                                                <w:right w:val="none" w:sz="0" w:space="0" w:color="auto"/>
                                                                                              </w:divBdr>
                                                                                            </w:div>
                                                                                            <w:div w:id="66751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279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AC1BD-3FBB-48D2-856A-14956C22DC99}">
  <ds:schemaRefs>
    <ds:schemaRef ds:uri="http://schemas.microsoft.com/sharepoint/v3/contenttype/forms"/>
  </ds:schemaRefs>
</ds:datastoreItem>
</file>

<file path=customXml/itemProps2.xml><?xml version="1.0" encoding="utf-8"?>
<ds:datastoreItem xmlns:ds="http://schemas.openxmlformats.org/officeDocument/2006/customXml" ds:itemID="{D2189216-711E-420E-9598-A4F065AA507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7CBE2D2-0BB4-480E-AFE3-11D8D70D5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86F77E-9EAB-4C09-8296-4AC1E16FA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1537</Words>
  <Characters>8766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2020-04-11T05:13:00Z</dcterms:created>
  <dcterms:modified xsi:type="dcterms:W3CDTF">2020-05-16T05:42:00Z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